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A7A1B4" w14:textId="06452DE6"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7730BD">
        <w:t>2</w:t>
      </w:r>
      <w:r w:rsidRPr="00CE0424">
        <w:t xml:space="preserve"> #</w:t>
      </w:r>
      <w:r w:rsidR="007730BD">
        <w:t>9</w:t>
      </w:r>
      <w:r w:rsidR="00817EDE">
        <w:t>5</w:t>
      </w:r>
      <w:r w:rsidR="00317B01">
        <w:t>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465F3A">
        <w:rPr>
          <w:sz w:val="32"/>
          <w:szCs w:val="32"/>
        </w:rPr>
        <w:t>6</w:t>
      </w:r>
      <w:r w:rsidR="00471449">
        <w:rPr>
          <w:sz w:val="32"/>
          <w:szCs w:val="32"/>
        </w:rPr>
        <w:t>7086</w:t>
      </w:r>
    </w:p>
    <w:p w14:paraId="2DF31962" w14:textId="77777777" w:rsidR="00EC60B5" w:rsidRDefault="00317B01" w:rsidP="00EC60B5">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w:t>
      </w:r>
      <w:r w:rsidR="00EC60B5">
        <w:rPr>
          <w:b/>
          <w:noProof/>
          <w:sz w:val="24"/>
        </w:rPr>
        <w:t>2016</w:t>
      </w:r>
    </w:p>
    <w:p w14:paraId="622197C5" w14:textId="77777777" w:rsidR="00E90E49" w:rsidRPr="00CE0424" w:rsidRDefault="00E90E49" w:rsidP="00357380">
      <w:pPr>
        <w:pStyle w:val="3GPPHeader"/>
      </w:pPr>
    </w:p>
    <w:p w14:paraId="3DC8523C" w14:textId="407C7F37" w:rsidR="00E90E49" w:rsidRPr="00795837" w:rsidRDefault="00E90E49" w:rsidP="00311702">
      <w:pPr>
        <w:pStyle w:val="3GPPHeader"/>
        <w:rPr>
          <w:sz w:val="22"/>
          <w:szCs w:val="22"/>
          <w:lang w:val="en-US"/>
        </w:rPr>
      </w:pPr>
      <w:r w:rsidRPr="00795837">
        <w:rPr>
          <w:sz w:val="22"/>
          <w:szCs w:val="22"/>
          <w:lang w:val="en-US"/>
        </w:rPr>
        <w:t>Agenda Item:</w:t>
      </w:r>
      <w:r w:rsidRPr="00795837">
        <w:rPr>
          <w:sz w:val="22"/>
          <w:szCs w:val="22"/>
          <w:lang w:val="en-US"/>
        </w:rPr>
        <w:tab/>
      </w:r>
      <w:r w:rsidR="001E7D72" w:rsidRPr="00795837">
        <w:rPr>
          <w:sz w:val="22"/>
          <w:szCs w:val="22"/>
          <w:lang w:val="en-US"/>
        </w:rPr>
        <w:t>8.18.3</w:t>
      </w:r>
    </w:p>
    <w:p w14:paraId="49079054"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38B9C3" w14:textId="131C9179" w:rsidR="00E90E49" w:rsidRPr="00CE0424" w:rsidRDefault="003D3C45" w:rsidP="00311702">
      <w:pPr>
        <w:pStyle w:val="3GPPHeader"/>
        <w:rPr>
          <w:sz w:val="22"/>
          <w:szCs w:val="22"/>
        </w:rPr>
      </w:pPr>
      <w:r>
        <w:rPr>
          <w:sz w:val="22"/>
          <w:szCs w:val="22"/>
        </w:rPr>
        <w:t>Title:</w:t>
      </w:r>
      <w:r w:rsidR="00E90E49" w:rsidRPr="00CE0424">
        <w:rPr>
          <w:sz w:val="22"/>
          <w:szCs w:val="22"/>
        </w:rPr>
        <w:tab/>
      </w:r>
      <w:r w:rsidR="003B5E12">
        <w:rPr>
          <w:sz w:val="22"/>
          <w:szCs w:val="22"/>
        </w:rPr>
        <w:t>VoLTE</w:t>
      </w:r>
      <w:r w:rsidR="009B110B">
        <w:rPr>
          <w:sz w:val="22"/>
          <w:szCs w:val="22"/>
        </w:rPr>
        <w:t xml:space="preserve"> aspects of the air interface delay</w:t>
      </w:r>
    </w:p>
    <w:p w14:paraId="153B401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E7D72">
        <w:rPr>
          <w:sz w:val="22"/>
          <w:szCs w:val="22"/>
        </w:rPr>
        <w:t>Discussion, Decision</w:t>
      </w:r>
    </w:p>
    <w:p w14:paraId="1D175CF2" w14:textId="77777777" w:rsidR="00E90E49" w:rsidRPr="00CE0424" w:rsidRDefault="00E90E49" w:rsidP="00E90E49"/>
    <w:p w14:paraId="24558389" w14:textId="77777777" w:rsidR="00E90E49" w:rsidRPr="00CE0424" w:rsidRDefault="00E90E49" w:rsidP="00CE0424">
      <w:pPr>
        <w:pStyle w:val="Heading1"/>
      </w:pPr>
      <w:r w:rsidRPr="00CE0424">
        <w:t>Introduction</w:t>
      </w:r>
    </w:p>
    <w:p w14:paraId="0767A951" w14:textId="43D0DB66" w:rsidR="009B110B" w:rsidRDefault="009B110B" w:rsidP="009B110B">
      <w:pPr>
        <w:pStyle w:val="BodyText"/>
      </w:pPr>
      <w:r>
        <w:t xml:space="preserve">At RAN#73, a work item on </w:t>
      </w:r>
      <w:r w:rsidRPr="009B110B">
        <w:t>Voice and Video enhancement</w:t>
      </w:r>
      <w:r>
        <w:t>s</w:t>
      </w:r>
      <w:r w:rsidRPr="009B110B">
        <w:t xml:space="preserve"> for LTE</w:t>
      </w:r>
      <w:r>
        <w:t xml:space="preserve"> has been approved </w:t>
      </w:r>
      <w:r>
        <w:fldChar w:fldCharType="begin"/>
      </w:r>
      <w:r>
        <w:instrText xml:space="preserve"> REF _Ref462667309 \r \h </w:instrText>
      </w:r>
      <w:r>
        <w:fldChar w:fldCharType="separate"/>
      </w:r>
      <w:r w:rsidR="00EA2585">
        <w:t>[1]</w:t>
      </w:r>
      <w:r>
        <w:fldChar w:fldCharType="end"/>
      </w:r>
      <w:r>
        <w:t>. The objectives of this work item are to specify the fol</w:t>
      </w:r>
      <w:r w:rsidR="00E40DA1">
        <w:t xml:space="preserve">lowing features based on the </w:t>
      </w:r>
      <w:r>
        <w:t>outputs</w:t>
      </w:r>
      <w:r w:rsidR="00E40DA1">
        <w:t xml:space="preserve"> of the study item report </w:t>
      </w:r>
      <w:r w:rsidR="00E40DA1">
        <w:fldChar w:fldCharType="begin"/>
      </w:r>
      <w:r w:rsidR="00E40DA1">
        <w:instrText xml:space="preserve"> REF _Ref462667577 \r \h </w:instrText>
      </w:r>
      <w:r w:rsidR="00E40DA1">
        <w:fldChar w:fldCharType="separate"/>
      </w:r>
      <w:r w:rsidR="00EA2585">
        <w:t>[2]</w:t>
      </w:r>
      <w:r w:rsidR="00E40DA1">
        <w:fldChar w:fldCharType="end"/>
      </w:r>
      <w:r>
        <w:t>:</w:t>
      </w:r>
    </w:p>
    <w:p w14:paraId="1A0FF19C" w14:textId="77777777" w:rsidR="009B110B" w:rsidRDefault="009B110B" w:rsidP="009B110B">
      <w:pPr>
        <w:pStyle w:val="BodyText"/>
        <w:numPr>
          <w:ilvl w:val="0"/>
          <w:numId w:val="15"/>
        </w:numPr>
      </w:pPr>
      <w:r>
        <w:t>The codec mode/rate selection and adaptation solution details specification (RAN2)</w:t>
      </w:r>
    </w:p>
    <w:p w14:paraId="05057C3C" w14:textId="77777777" w:rsidR="009B110B" w:rsidRDefault="009B110B" w:rsidP="009B110B">
      <w:pPr>
        <w:pStyle w:val="BodyText"/>
        <w:numPr>
          <w:ilvl w:val="0"/>
          <w:numId w:val="15"/>
        </w:numPr>
      </w:pPr>
      <w:r>
        <w:t>VoLTE/ViLTE signalling optimization</w:t>
      </w:r>
    </w:p>
    <w:p w14:paraId="2F5736C7" w14:textId="690356A4" w:rsidR="009B110B" w:rsidRDefault="009B110B" w:rsidP="009B110B">
      <w:pPr>
        <w:pStyle w:val="BodyText"/>
        <w:numPr>
          <w:ilvl w:val="0"/>
          <w:numId w:val="15"/>
        </w:numPr>
      </w:pPr>
      <w:r>
        <w:t>VoLTE quality/coverage enhancements</w:t>
      </w:r>
    </w:p>
    <w:p w14:paraId="401FCC76" w14:textId="01F90E8A" w:rsidR="00E40DA1" w:rsidRDefault="00E40DA1" w:rsidP="00E40DA1">
      <w:pPr>
        <w:pStyle w:val="BodyText"/>
      </w:pPr>
      <w:r>
        <w:t xml:space="preserve">With </w:t>
      </w:r>
      <w:r w:rsidR="003B5E12">
        <w:t>respect</w:t>
      </w:r>
      <w:r>
        <w:t xml:space="preserve"> to the quality/coverage </w:t>
      </w:r>
      <w:r w:rsidR="003B5E12">
        <w:t>enhancements</w:t>
      </w:r>
      <w:r>
        <w:t xml:space="preserve">, one detailed </w:t>
      </w:r>
      <w:r w:rsidR="003B5E12">
        <w:t>objective</w:t>
      </w:r>
      <w:r>
        <w:t xml:space="preserve"> is</w:t>
      </w:r>
    </w:p>
    <w:p w14:paraId="1749F83A" w14:textId="77777777" w:rsidR="00E40DA1" w:rsidRPr="00C31485" w:rsidRDefault="00E40DA1" w:rsidP="00E40DA1">
      <w:pPr>
        <w:numPr>
          <w:ilvl w:val="1"/>
          <w:numId w:val="16"/>
        </w:numPr>
        <w:overflowPunct/>
        <w:autoSpaceDE/>
        <w:autoSpaceDN/>
        <w:adjustRightInd/>
        <w:spacing w:after="160" w:line="259" w:lineRule="auto"/>
        <w:ind w:right="1035"/>
        <w:jc w:val="left"/>
        <w:textAlignment w:val="auto"/>
      </w:pPr>
      <w:r w:rsidRPr="00C31485">
        <w:t>Specify, if useful, the mechanism to enable the air interface delay budget relaxation, by e.g. the eNB awareness of available delay in air interface budget (RAN2)</w:t>
      </w:r>
    </w:p>
    <w:p w14:paraId="7FF1E170" w14:textId="45530465" w:rsidR="00E40DA1" w:rsidRPr="00C31485" w:rsidRDefault="00E40DA1" w:rsidP="00E40DA1">
      <w:pPr>
        <w:pStyle w:val="BodyText"/>
      </w:pPr>
      <w:r w:rsidRPr="00C31485">
        <w:t>In this contribution we discuss RAN air interface delay in an end-to-end context.</w:t>
      </w:r>
    </w:p>
    <w:p w14:paraId="4EDBDD7C" w14:textId="0891C1F3" w:rsidR="001643A8" w:rsidRDefault="004000E8" w:rsidP="00CE0424">
      <w:pPr>
        <w:pStyle w:val="Heading1"/>
      </w:pPr>
      <w:bookmarkStart w:id="1" w:name="_Ref178064866"/>
      <w:r w:rsidRPr="00CE0424">
        <w:t>Discussion</w:t>
      </w:r>
      <w:bookmarkEnd w:id="1"/>
    </w:p>
    <w:p w14:paraId="5ACA30A3" w14:textId="4265D8C7" w:rsidR="007A7BC3" w:rsidRPr="007A7BC3" w:rsidRDefault="000D5BEE" w:rsidP="007A7BC3">
      <w:r>
        <w:fldChar w:fldCharType="begin"/>
      </w:r>
      <w:r>
        <w:instrText xml:space="preserve"> REF _Ref462604780 \h </w:instrText>
      </w:r>
      <w:r>
        <w:fldChar w:fldCharType="separate"/>
      </w:r>
      <w:r w:rsidR="00EA2585">
        <w:t xml:space="preserve">Figure </w:t>
      </w:r>
      <w:r w:rsidR="00EA2585">
        <w:rPr>
          <w:noProof/>
        </w:rPr>
        <w:t>1</w:t>
      </w:r>
      <w:r>
        <w:fldChar w:fldCharType="end"/>
      </w:r>
      <w:r>
        <w:t xml:space="preserve"> </w:t>
      </w:r>
      <w:r w:rsidR="0071229E">
        <w:t>describes</w:t>
      </w:r>
      <w:r w:rsidR="007C0DDA">
        <w:t xml:space="preserve"> the</w:t>
      </w:r>
      <w:r w:rsidR="007A7BC3">
        <w:t xml:space="preserve"> effect of mouth-to-ear delay on the convers</w:t>
      </w:r>
      <w:r w:rsidR="007C0DDA">
        <w:t xml:space="preserve">ational quality </w:t>
      </w:r>
      <w:r w:rsidR="007C0DDA">
        <w:fldChar w:fldCharType="begin"/>
      </w:r>
      <w:r w:rsidR="007C0DDA">
        <w:instrText xml:space="preserve"> REF _Ref462602582 \r \h </w:instrText>
      </w:r>
      <w:r w:rsidR="007C0DDA">
        <w:fldChar w:fldCharType="separate"/>
      </w:r>
      <w:r w:rsidR="00EA2585">
        <w:t>[3]</w:t>
      </w:r>
      <w:r w:rsidR="007C0DDA">
        <w:fldChar w:fldCharType="end"/>
      </w:r>
      <w:r w:rsidR="007C0DDA">
        <w:t>.</w:t>
      </w:r>
    </w:p>
    <w:p w14:paraId="0BE32390" w14:textId="77777777" w:rsidR="0098218C" w:rsidRDefault="00071EB6" w:rsidP="0098218C">
      <w:pPr>
        <w:keepNext/>
      </w:pPr>
      <w:r w:rsidRPr="00071EB6">
        <w:rPr>
          <w:noProof/>
          <w:lang w:val="en-US" w:eastAsia="en-US"/>
        </w:rPr>
        <w:drawing>
          <wp:inline distT="0" distB="0" distL="0" distR="0" wp14:anchorId="24897A61" wp14:editId="4928A8CA">
            <wp:extent cx="6120765" cy="278511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6120765" cy="2785110"/>
                    </a:xfrm>
                    <a:prstGeom prst="rect">
                      <a:avLst/>
                    </a:prstGeom>
                  </pic:spPr>
                </pic:pic>
              </a:graphicData>
            </a:graphic>
          </wp:inline>
        </w:drawing>
      </w:r>
    </w:p>
    <w:p w14:paraId="63CCB3B0" w14:textId="28F59D57" w:rsidR="00071EB6" w:rsidRDefault="0098218C" w:rsidP="007C0DDA">
      <w:pPr>
        <w:pStyle w:val="Caption"/>
        <w:jc w:val="both"/>
      </w:pPr>
      <w:bookmarkStart w:id="2" w:name="_Ref462604780"/>
      <w:r>
        <w:t xml:space="preserve">Figure </w:t>
      </w:r>
      <w:r>
        <w:fldChar w:fldCharType="begin"/>
      </w:r>
      <w:r>
        <w:instrText xml:space="preserve"> SEQ Figure \* ARABIC </w:instrText>
      </w:r>
      <w:r>
        <w:fldChar w:fldCharType="separate"/>
      </w:r>
      <w:r w:rsidR="00EA2585">
        <w:rPr>
          <w:noProof/>
        </w:rPr>
        <w:t>1</w:t>
      </w:r>
      <w:r>
        <w:fldChar w:fldCharType="end"/>
      </w:r>
      <w:bookmarkEnd w:id="2"/>
      <w:r>
        <w:t xml:space="preserve">: Effect of mouth-to-ear delay on conversational quality </w:t>
      </w:r>
      <w:r>
        <w:fldChar w:fldCharType="begin"/>
      </w:r>
      <w:r>
        <w:instrText xml:space="preserve"> REF _Ref462602582 \r \h </w:instrText>
      </w:r>
      <w:r>
        <w:fldChar w:fldCharType="separate"/>
      </w:r>
      <w:r w:rsidR="00EA2585">
        <w:t>[3]</w:t>
      </w:r>
      <w:r>
        <w:fldChar w:fldCharType="end"/>
      </w:r>
      <w:r>
        <w:t>.</w:t>
      </w:r>
    </w:p>
    <w:p w14:paraId="622FA37E" w14:textId="77777777" w:rsidR="003B5E12" w:rsidRDefault="003B5E12" w:rsidP="00071EB6"/>
    <w:p w14:paraId="402BB7CA" w14:textId="46C85C0E" w:rsidR="003B5E12" w:rsidRDefault="003B5E12" w:rsidP="001E7D72">
      <w:pPr>
        <w:pStyle w:val="NormalParagraph"/>
        <w:jc w:val="both"/>
        <w:rPr>
          <w:rFonts w:eastAsiaTheme="minorHAnsi" w:cs="Arial"/>
          <w:color w:val="000000" w:themeColor="text1"/>
          <w:sz w:val="20"/>
        </w:rPr>
      </w:pPr>
      <w:r>
        <w:rPr>
          <w:rFonts w:eastAsiaTheme="minorHAnsi" w:cs="Arial"/>
          <w:color w:val="000000" w:themeColor="text1"/>
          <w:sz w:val="20"/>
        </w:rPr>
        <w:lastRenderedPageBreak/>
        <w:t xml:space="preserve">The mouth-to-ear delay is the sum of the delay in the UEs, the radio </w:t>
      </w:r>
      <w:r w:rsidR="00E01B0E">
        <w:rPr>
          <w:rFonts w:eastAsiaTheme="minorHAnsi" w:cs="Arial"/>
          <w:color w:val="000000" w:themeColor="text1"/>
          <w:sz w:val="20"/>
        </w:rPr>
        <w:t>interface</w:t>
      </w:r>
      <w:r>
        <w:rPr>
          <w:rFonts w:eastAsiaTheme="minorHAnsi" w:cs="Arial"/>
          <w:color w:val="000000" w:themeColor="text1"/>
          <w:sz w:val="20"/>
        </w:rPr>
        <w:t xml:space="preserve">, the backhaul from the eNB to the EPC, and the backbone in the PLMN. </w:t>
      </w:r>
    </w:p>
    <w:p w14:paraId="6836A7EE" w14:textId="5A3B18B5" w:rsidR="003B5E12" w:rsidRPr="00AD268A" w:rsidRDefault="0038252E" w:rsidP="001E7D72">
      <w:pPr>
        <w:pStyle w:val="NormalParagraph"/>
        <w:jc w:val="both"/>
        <w:rPr>
          <w:rFonts w:eastAsiaTheme="minorHAnsi" w:cs="Arial"/>
          <w:color w:val="000000" w:themeColor="text1"/>
          <w:sz w:val="20"/>
        </w:rPr>
      </w:pPr>
      <w:r w:rsidRPr="0038252E">
        <w:rPr>
          <w:rFonts w:eastAsiaTheme="minorHAnsi" w:cs="Arial"/>
          <w:color w:val="000000" w:themeColor="text1"/>
          <w:sz w:val="20"/>
        </w:rPr>
        <w:t>Minimum performance requirements on the maximum UE delay for MTSI vo</w:t>
      </w:r>
      <w:r>
        <w:rPr>
          <w:rFonts w:eastAsiaTheme="minorHAnsi" w:cs="Arial"/>
          <w:color w:val="000000" w:themeColor="text1"/>
          <w:sz w:val="20"/>
        </w:rPr>
        <w:t xml:space="preserve">ice services are stated in [4]. </w:t>
      </w:r>
      <w:r w:rsidRPr="0038252E">
        <w:rPr>
          <w:rFonts w:eastAsiaTheme="minorHAnsi" w:cs="Arial"/>
          <w:color w:val="000000" w:themeColor="text1"/>
          <w:sz w:val="20"/>
        </w:rPr>
        <w:t>This delay includes</w:t>
      </w:r>
    </w:p>
    <w:p w14:paraId="13D556B7" w14:textId="01EA5A5B" w:rsidR="003B5E12" w:rsidRDefault="003B5E12" w:rsidP="001E7D72">
      <w:pPr>
        <w:pStyle w:val="NormalParagraph"/>
        <w:numPr>
          <w:ilvl w:val="0"/>
          <w:numId w:val="17"/>
        </w:numPr>
        <w:jc w:val="both"/>
        <w:rPr>
          <w:rFonts w:eastAsiaTheme="minorHAnsi" w:cs="Arial"/>
          <w:color w:val="000000" w:themeColor="text1"/>
          <w:sz w:val="20"/>
        </w:rPr>
      </w:pPr>
      <w:r>
        <w:rPr>
          <w:rFonts w:eastAsiaTheme="minorHAnsi" w:cs="Arial"/>
          <w:color w:val="000000" w:themeColor="text1"/>
          <w:sz w:val="20"/>
        </w:rPr>
        <w:t>Speech frame buffer and codec look-ahead. This is 25</w:t>
      </w:r>
      <w:r w:rsidR="0038252E">
        <w:rPr>
          <w:rFonts w:eastAsiaTheme="minorHAnsi" w:cs="Arial"/>
          <w:color w:val="000000" w:themeColor="text1"/>
          <w:sz w:val="20"/>
        </w:rPr>
        <w:t xml:space="preserve"> ms </w:t>
      </w:r>
      <w:r w:rsidR="00E03845">
        <w:rPr>
          <w:rFonts w:eastAsiaTheme="minorHAnsi" w:cs="Arial"/>
          <w:color w:val="000000" w:themeColor="text1"/>
          <w:sz w:val="20"/>
        </w:rPr>
        <w:t>and 32 ms for</w:t>
      </w:r>
      <w:r w:rsidR="0038252E">
        <w:rPr>
          <w:rFonts w:eastAsiaTheme="minorHAnsi" w:cs="Arial"/>
          <w:color w:val="000000" w:themeColor="text1"/>
          <w:sz w:val="20"/>
        </w:rPr>
        <w:t xml:space="preserve"> the </w:t>
      </w:r>
      <w:r w:rsidR="00E03845">
        <w:rPr>
          <w:rFonts w:eastAsiaTheme="minorHAnsi" w:cs="Arial"/>
          <w:color w:val="000000" w:themeColor="text1"/>
          <w:sz w:val="20"/>
        </w:rPr>
        <w:t xml:space="preserve">AMR-WB and EVS </w:t>
      </w:r>
      <w:r w:rsidR="0038252E">
        <w:rPr>
          <w:rFonts w:eastAsiaTheme="minorHAnsi" w:cs="Arial"/>
          <w:color w:val="000000" w:themeColor="text1"/>
          <w:sz w:val="20"/>
        </w:rPr>
        <w:t>codecs used in VoLTE</w:t>
      </w:r>
      <w:r w:rsidR="001E7D72">
        <w:rPr>
          <w:rFonts w:eastAsiaTheme="minorHAnsi" w:cs="Arial"/>
          <w:color w:val="000000" w:themeColor="text1"/>
          <w:sz w:val="20"/>
        </w:rPr>
        <w:t>, respectively</w:t>
      </w:r>
      <w:r w:rsidR="0038252E">
        <w:rPr>
          <w:rFonts w:eastAsiaTheme="minorHAnsi" w:cs="Arial"/>
          <w:color w:val="000000" w:themeColor="text1"/>
          <w:sz w:val="20"/>
        </w:rPr>
        <w:t xml:space="preserve"> </w:t>
      </w:r>
      <w:r w:rsidR="0038252E">
        <w:rPr>
          <w:rFonts w:eastAsiaTheme="minorHAnsi" w:cs="Arial"/>
          <w:color w:val="000000" w:themeColor="text1"/>
          <w:sz w:val="20"/>
        </w:rPr>
        <w:fldChar w:fldCharType="begin"/>
      </w:r>
      <w:r w:rsidR="0038252E">
        <w:rPr>
          <w:rFonts w:eastAsiaTheme="minorHAnsi" w:cs="Arial"/>
          <w:color w:val="000000" w:themeColor="text1"/>
          <w:sz w:val="20"/>
        </w:rPr>
        <w:instrText xml:space="preserve"> REF _Ref462668226 \r \h </w:instrText>
      </w:r>
      <w:r w:rsidR="001E7D72">
        <w:rPr>
          <w:rFonts w:eastAsiaTheme="minorHAnsi" w:cs="Arial"/>
          <w:color w:val="000000" w:themeColor="text1"/>
          <w:sz w:val="20"/>
        </w:rPr>
        <w:instrText xml:space="preserve"> \* MERGEFORMAT </w:instrText>
      </w:r>
      <w:r w:rsidR="0038252E">
        <w:rPr>
          <w:rFonts w:eastAsiaTheme="minorHAnsi" w:cs="Arial"/>
          <w:color w:val="000000" w:themeColor="text1"/>
          <w:sz w:val="20"/>
        </w:rPr>
      </w:r>
      <w:r w:rsidR="0038252E">
        <w:rPr>
          <w:rFonts w:eastAsiaTheme="minorHAnsi" w:cs="Arial"/>
          <w:color w:val="000000" w:themeColor="text1"/>
          <w:sz w:val="20"/>
        </w:rPr>
        <w:fldChar w:fldCharType="separate"/>
      </w:r>
      <w:r w:rsidR="00EA2585">
        <w:rPr>
          <w:rFonts w:eastAsiaTheme="minorHAnsi" w:cs="Arial"/>
          <w:color w:val="000000" w:themeColor="text1"/>
          <w:sz w:val="20"/>
        </w:rPr>
        <w:t>[5]</w:t>
      </w:r>
      <w:r w:rsidR="0038252E">
        <w:rPr>
          <w:rFonts w:eastAsiaTheme="minorHAnsi" w:cs="Arial"/>
          <w:color w:val="000000" w:themeColor="text1"/>
          <w:sz w:val="20"/>
        </w:rPr>
        <w:fldChar w:fldCharType="end"/>
      </w:r>
      <w:r>
        <w:rPr>
          <w:rFonts w:eastAsiaTheme="minorHAnsi" w:cs="Arial"/>
          <w:color w:val="000000" w:themeColor="text1"/>
          <w:sz w:val="20"/>
        </w:rPr>
        <w:t>.</w:t>
      </w:r>
    </w:p>
    <w:p w14:paraId="7A6C6A9E" w14:textId="31E9F3A7" w:rsidR="003B5E12" w:rsidRDefault="00E03845" w:rsidP="001E7D72">
      <w:pPr>
        <w:pStyle w:val="NormalParagraph"/>
        <w:numPr>
          <w:ilvl w:val="0"/>
          <w:numId w:val="17"/>
        </w:numPr>
        <w:jc w:val="both"/>
        <w:rPr>
          <w:rFonts w:eastAsiaTheme="minorHAnsi" w:cs="Arial"/>
          <w:color w:val="000000" w:themeColor="text1"/>
          <w:sz w:val="20"/>
        </w:rPr>
      </w:pPr>
      <w:r>
        <w:rPr>
          <w:rFonts w:eastAsiaTheme="minorHAnsi" w:cs="Arial"/>
          <w:color w:val="000000" w:themeColor="text1"/>
          <w:sz w:val="20"/>
        </w:rPr>
        <w:t xml:space="preserve">UE vendor </w:t>
      </w:r>
      <w:r w:rsidR="001A089D">
        <w:rPr>
          <w:rFonts w:eastAsiaTheme="minorHAnsi" w:cs="Arial"/>
          <w:color w:val="000000" w:themeColor="text1"/>
          <w:sz w:val="20"/>
        </w:rPr>
        <w:t>speech processing</w:t>
      </w:r>
      <w:r w:rsidR="003B5E12" w:rsidRPr="00AD268A">
        <w:rPr>
          <w:rFonts w:eastAsiaTheme="minorHAnsi" w:cs="Arial"/>
          <w:color w:val="000000" w:themeColor="text1"/>
          <w:sz w:val="20"/>
        </w:rPr>
        <w:t xml:space="preserve"> </w:t>
      </w:r>
      <w:r w:rsidR="001A089D" w:rsidRPr="00AD268A">
        <w:rPr>
          <w:rFonts w:eastAsiaTheme="minorHAnsi" w:cs="Arial"/>
          <w:color w:val="000000" w:themeColor="text1"/>
          <w:sz w:val="20"/>
        </w:rPr>
        <w:t>delay</w:t>
      </w:r>
      <w:r w:rsidR="0038252E">
        <w:rPr>
          <w:rFonts w:eastAsiaTheme="minorHAnsi" w:cs="Arial"/>
          <w:color w:val="000000" w:themeColor="text1"/>
          <w:sz w:val="20"/>
        </w:rPr>
        <w:t xml:space="preserve">. </w:t>
      </w:r>
      <w:r>
        <w:rPr>
          <w:rFonts w:eastAsiaTheme="minorHAnsi" w:cs="Arial"/>
          <w:color w:val="000000" w:themeColor="text1"/>
          <w:sz w:val="20"/>
        </w:rPr>
        <w:t xml:space="preserve">This is vendor implementation dependent and the </w:t>
      </w:r>
      <w:r w:rsidR="001A089D">
        <w:rPr>
          <w:rFonts w:eastAsiaTheme="minorHAnsi" w:cs="Arial"/>
          <w:color w:val="000000" w:themeColor="text1"/>
          <w:sz w:val="20"/>
        </w:rPr>
        <w:t>performance</w:t>
      </w:r>
      <w:r>
        <w:rPr>
          <w:rFonts w:eastAsiaTheme="minorHAnsi" w:cs="Arial"/>
          <w:color w:val="000000" w:themeColor="text1"/>
          <w:sz w:val="20"/>
        </w:rPr>
        <w:t xml:space="preserve"> objective is below </w:t>
      </w:r>
      <w:r w:rsidR="00EA2585">
        <w:rPr>
          <w:rFonts w:eastAsiaTheme="minorHAnsi" w:cs="Arial"/>
          <w:color w:val="000000" w:themeColor="text1"/>
          <w:sz w:val="20"/>
        </w:rPr>
        <w:t>85</w:t>
      </w:r>
      <w:r w:rsidR="0038252E">
        <w:rPr>
          <w:rFonts w:eastAsiaTheme="minorHAnsi" w:cs="Arial"/>
          <w:color w:val="000000" w:themeColor="text1"/>
          <w:sz w:val="20"/>
        </w:rPr>
        <w:t xml:space="preserve">ms and a </w:t>
      </w:r>
      <w:r w:rsidR="001A089D">
        <w:rPr>
          <w:rFonts w:eastAsiaTheme="minorHAnsi" w:cs="Arial"/>
          <w:color w:val="000000" w:themeColor="text1"/>
          <w:sz w:val="20"/>
        </w:rPr>
        <w:t>performance</w:t>
      </w:r>
      <w:r w:rsidR="0038252E">
        <w:rPr>
          <w:rFonts w:eastAsiaTheme="minorHAnsi" w:cs="Arial"/>
          <w:color w:val="000000" w:themeColor="text1"/>
          <w:sz w:val="20"/>
        </w:rPr>
        <w:t xml:space="preserve"> requirement</w:t>
      </w:r>
      <w:r w:rsidR="00EA2585">
        <w:rPr>
          <w:rFonts w:eastAsiaTheme="minorHAnsi" w:cs="Arial"/>
          <w:color w:val="000000" w:themeColor="text1"/>
          <w:sz w:val="20"/>
        </w:rPr>
        <w:t xml:space="preserve"> of</w:t>
      </w:r>
      <w:r>
        <w:rPr>
          <w:rFonts w:eastAsiaTheme="minorHAnsi" w:cs="Arial"/>
          <w:color w:val="000000" w:themeColor="text1"/>
          <w:sz w:val="20"/>
        </w:rPr>
        <w:t xml:space="preserve"> maximum</w:t>
      </w:r>
      <w:r w:rsidR="00EA2585">
        <w:rPr>
          <w:rFonts w:eastAsiaTheme="minorHAnsi" w:cs="Arial"/>
          <w:color w:val="000000" w:themeColor="text1"/>
          <w:sz w:val="20"/>
        </w:rPr>
        <w:t xml:space="preserve"> 125</w:t>
      </w:r>
      <w:r w:rsidR="003B5E12">
        <w:rPr>
          <w:rFonts w:eastAsiaTheme="minorHAnsi" w:cs="Arial"/>
          <w:color w:val="000000" w:themeColor="text1"/>
          <w:sz w:val="20"/>
        </w:rPr>
        <w:t xml:space="preserve">ms. </w:t>
      </w:r>
    </w:p>
    <w:p w14:paraId="41676958" w14:textId="57DCE958" w:rsidR="003B5E12" w:rsidRPr="00E03845" w:rsidRDefault="003B5E12" w:rsidP="001E7D72">
      <w:pPr>
        <w:pStyle w:val="NormalParagraph"/>
        <w:numPr>
          <w:ilvl w:val="0"/>
          <w:numId w:val="17"/>
        </w:numPr>
        <w:jc w:val="both"/>
      </w:pPr>
      <w:r w:rsidRPr="00467052">
        <w:rPr>
          <w:rFonts w:eastAsiaTheme="minorHAnsi" w:cs="Arial"/>
          <w:color w:val="000000" w:themeColor="text1"/>
          <w:sz w:val="20"/>
        </w:rPr>
        <w:t>Minimum jitter buffer delay.</w:t>
      </w:r>
      <w:r w:rsidR="0038252E" w:rsidRPr="00467052">
        <w:rPr>
          <w:rFonts w:eastAsiaTheme="minorHAnsi" w:cs="Arial"/>
          <w:color w:val="000000" w:themeColor="text1"/>
          <w:sz w:val="20"/>
        </w:rPr>
        <w:t xml:space="preserve"> </w:t>
      </w:r>
      <w:r w:rsidRPr="00467052">
        <w:rPr>
          <w:rFonts w:eastAsiaTheme="minorHAnsi" w:cs="Arial"/>
          <w:color w:val="000000" w:themeColor="text1"/>
          <w:sz w:val="20"/>
        </w:rPr>
        <w:t xml:space="preserve">The delay </w:t>
      </w:r>
      <w:r w:rsidR="00467052">
        <w:rPr>
          <w:rFonts w:eastAsiaTheme="minorHAnsi" w:cs="Arial"/>
          <w:color w:val="000000" w:themeColor="text1"/>
          <w:sz w:val="20"/>
        </w:rPr>
        <w:t>variations used in the tests represents theoretical delay variations that may be expected from a fictive LTE RAN operating in connected mode DRX cycle of 20ms and 40ms, and a</w:t>
      </w:r>
      <w:r w:rsidR="00467052" w:rsidRPr="00467052">
        <w:rPr>
          <w:rFonts w:eastAsiaTheme="minorHAnsi" w:cs="Arial"/>
          <w:color w:val="000000" w:themeColor="text1"/>
          <w:sz w:val="20"/>
        </w:rPr>
        <w:t xml:space="preserve"> </w:t>
      </w:r>
      <w:r w:rsidR="00467052">
        <w:rPr>
          <w:rFonts w:eastAsiaTheme="minorHAnsi" w:cs="Arial"/>
          <w:color w:val="000000" w:themeColor="text1"/>
          <w:sz w:val="20"/>
        </w:rPr>
        <w:t>jitter buffer delay allowance of</w:t>
      </w:r>
      <w:r w:rsidR="00E01B0E">
        <w:rPr>
          <w:rFonts w:eastAsiaTheme="minorHAnsi" w:cs="Arial"/>
          <w:color w:val="000000" w:themeColor="text1"/>
          <w:sz w:val="20"/>
        </w:rPr>
        <w:t>, respectively,</w:t>
      </w:r>
      <w:r w:rsidR="00467052">
        <w:rPr>
          <w:rFonts w:eastAsiaTheme="minorHAnsi" w:cs="Arial"/>
          <w:color w:val="000000" w:themeColor="text1"/>
          <w:sz w:val="20"/>
        </w:rPr>
        <w:t xml:space="preserve"> 40ms and 80ms</w:t>
      </w:r>
      <w:r w:rsidR="00E01B0E">
        <w:rPr>
          <w:rFonts w:eastAsiaTheme="minorHAnsi" w:cs="Arial"/>
          <w:color w:val="000000" w:themeColor="text1"/>
          <w:sz w:val="20"/>
        </w:rPr>
        <w:t xml:space="preserve"> </w:t>
      </w:r>
      <w:r w:rsidR="00467052">
        <w:rPr>
          <w:rFonts w:eastAsiaTheme="minorHAnsi" w:cs="Arial"/>
          <w:color w:val="000000" w:themeColor="text1"/>
          <w:sz w:val="20"/>
        </w:rPr>
        <w:t>is attributed for the two test cases.</w:t>
      </w:r>
    </w:p>
    <w:p w14:paraId="50F0B986" w14:textId="5AEF4458" w:rsidR="00E03845" w:rsidRDefault="00E03845" w:rsidP="001E7D72">
      <w:pPr>
        <w:pStyle w:val="NormalParagraph"/>
        <w:jc w:val="both"/>
        <w:rPr>
          <w:rFonts w:eastAsiaTheme="minorHAnsi" w:cs="Arial"/>
          <w:color w:val="000000" w:themeColor="text1"/>
          <w:sz w:val="20"/>
        </w:rPr>
      </w:pPr>
      <w:r w:rsidRPr="00467052">
        <w:rPr>
          <w:rFonts w:eastAsiaTheme="minorHAnsi" w:cs="Arial"/>
          <w:color w:val="000000" w:themeColor="text1"/>
          <w:sz w:val="20"/>
        </w:rPr>
        <w:t xml:space="preserve">It is specified in </w:t>
      </w:r>
      <w:r w:rsidRPr="00467052">
        <w:rPr>
          <w:rFonts w:eastAsiaTheme="minorHAnsi" w:cs="Arial"/>
          <w:color w:val="000000" w:themeColor="text1"/>
          <w:sz w:val="20"/>
        </w:rPr>
        <w:fldChar w:fldCharType="begin"/>
      </w:r>
      <w:r w:rsidRPr="00467052">
        <w:rPr>
          <w:rFonts w:eastAsiaTheme="minorHAnsi" w:cs="Arial"/>
          <w:color w:val="000000" w:themeColor="text1"/>
          <w:sz w:val="20"/>
        </w:rPr>
        <w:instrText xml:space="preserve"> REF _Ref462668226 \r \h </w:instrText>
      </w:r>
      <w:r w:rsidR="001E7D72">
        <w:rPr>
          <w:rFonts w:eastAsiaTheme="minorHAnsi" w:cs="Arial"/>
          <w:color w:val="000000" w:themeColor="text1"/>
          <w:sz w:val="20"/>
        </w:rPr>
        <w:instrText xml:space="preserve"> \* MERGEFORMAT </w:instrText>
      </w:r>
      <w:r w:rsidRPr="00467052">
        <w:rPr>
          <w:rFonts w:eastAsiaTheme="minorHAnsi" w:cs="Arial"/>
          <w:color w:val="000000" w:themeColor="text1"/>
          <w:sz w:val="20"/>
        </w:rPr>
      </w:r>
      <w:r w:rsidRPr="00467052">
        <w:rPr>
          <w:rFonts w:eastAsiaTheme="minorHAnsi" w:cs="Arial"/>
          <w:color w:val="000000" w:themeColor="text1"/>
          <w:sz w:val="20"/>
        </w:rPr>
        <w:fldChar w:fldCharType="separate"/>
      </w:r>
      <w:r>
        <w:rPr>
          <w:rFonts w:eastAsiaTheme="minorHAnsi" w:cs="Arial"/>
          <w:color w:val="000000" w:themeColor="text1"/>
          <w:sz w:val="20"/>
        </w:rPr>
        <w:t>[5]</w:t>
      </w:r>
      <w:r w:rsidRPr="00467052">
        <w:rPr>
          <w:rFonts w:eastAsiaTheme="minorHAnsi" w:cs="Arial"/>
          <w:color w:val="000000" w:themeColor="text1"/>
          <w:sz w:val="20"/>
        </w:rPr>
        <w:fldChar w:fldCharType="end"/>
      </w:r>
      <w:r w:rsidRPr="00467052">
        <w:rPr>
          <w:rFonts w:eastAsiaTheme="minorHAnsi" w:cs="Arial"/>
          <w:color w:val="000000" w:themeColor="text1"/>
          <w:sz w:val="20"/>
        </w:rPr>
        <w:t xml:space="preserve"> that the U</w:t>
      </w:r>
      <w:r>
        <w:rPr>
          <w:rFonts w:eastAsiaTheme="minorHAnsi" w:cs="Arial"/>
          <w:color w:val="000000" w:themeColor="text1"/>
          <w:sz w:val="20"/>
        </w:rPr>
        <w:t>E shall include a jitter buffer with operation according to the minimum perf</w:t>
      </w:r>
      <w:r w:rsidR="001E7D72">
        <w:rPr>
          <w:rFonts w:eastAsiaTheme="minorHAnsi" w:cs="Arial"/>
          <w:color w:val="000000" w:themeColor="text1"/>
          <w:sz w:val="20"/>
        </w:rPr>
        <w:t>or</w:t>
      </w:r>
      <w:r>
        <w:rPr>
          <w:rFonts w:eastAsiaTheme="minorHAnsi" w:cs="Arial"/>
          <w:color w:val="000000" w:themeColor="text1"/>
          <w:sz w:val="20"/>
        </w:rPr>
        <w:t xml:space="preserve">mance requirements in </w:t>
      </w:r>
      <w:r>
        <w:rPr>
          <w:rFonts w:eastAsiaTheme="minorHAnsi" w:cs="Arial"/>
          <w:color w:val="000000" w:themeColor="text1"/>
          <w:sz w:val="20"/>
        </w:rPr>
        <w:fldChar w:fldCharType="begin"/>
      </w:r>
      <w:r>
        <w:rPr>
          <w:rFonts w:eastAsiaTheme="minorHAnsi" w:cs="Arial"/>
          <w:color w:val="000000" w:themeColor="text1"/>
          <w:sz w:val="20"/>
        </w:rPr>
        <w:instrText xml:space="preserve"> REF _Ref462604039 \r \h </w:instrText>
      </w:r>
      <w:r w:rsidR="001E7D72">
        <w:rPr>
          <w:rFonts w:eastAsiaTheme="minorHAnsi" w:cs="Arial"/>
          <w:color w:val="000000" w:themeColor="text1"/>
          <w:sz w:val="20"/>
        </w:rPr>
        <w:instrText xml:space="preserve"> \* MERGEFORMAT </w:instrText>
      </w:r>
      <w:r>
        <w:rPr>
          <w:rFonts w:eastAsiaTheme="minorHAnsi" w:cs="Arial"/>
          <w:color w:val="000000" w:themeColor="text1"/>
          <w:sz w:val="20"/>
        </w:rPr>
      </w:r>
      <w:r>
        <w:rPr>
          <w:rFonts w:eastAsiaTheme="minorHAnsi" w:cs="Arial"/>
          <w:color w:val="000000" w:themeColor="text1"/>
          <w:sz w:val="20"/>
        </w:rPr>
        <w:fldChar w:fldCharType="separate"/>
      </w:r>
      <w:r>
        <w:rPr>
          <w:rFonts w:eastAsiaTheme="minorHAnsi" w:cs="Arial"/>
          <w:color w:val="000000" w:themeColor="text1"/>
          <w:sz w:val="20"/>
        </w:rPr>
        <w:t>[7]</w:t>
      </w:r>
      <w:r>
        <w:rPr>
          <w:rFonts w:eastAsiaTheme="minorHAnsi" w:cs="Arial"/>
          <w:color w:val="000000" w:themeColor="text1"/>
          <w:sz w:val="20"/>
        </w:rPr>
        <w:fldChar w:fldCharType="end"/>
      </w:r>
      <w:r>
        <w:rPr>
          <w:rFonts w:eastAsiaTheme="minorHAnsi" w:cs="Arial"/>
          <w:color w:val="000000" w:themeColor="text1"/>
          <w:sz w:val="20"/>
        </w:rPr>
        <w:t xml:space="preserve"> </w:t>
      </w:r>
      <w:r w:rsidRPr="00467052">
        <w:rPr>
          <w:rFonts w:eastAsiaTheme="minorHAnsi" w:cs="Arial"/>
          <w:color w:val="000000" w:themeColor="text1"/>
          <w:sz w:val="20"/>
        </w:rPr>
        <w:t>that adapts to the delay variations of the received packets and minimizes the playout delay while retaining a good speech quality.</w:t>
      </w:r>
    </w:p>
    <w:p w14:paraId="281DBCC3" w14:textId="77777777" w:rsidR="001E7D72" w:rsidRDefault="001E7D72" w:rsidP="001E7D72">
      <w:pPr>
        <w:pStyle w:val="NormalParagraph"/>
        <w:spacing w:line="240" w:lineRule="auto"/>
        <w:jc w:val="both"/>
        <w:rPr>
          <w:rFonts w:eastAsiaTheme="minorHAnsi" w:cs="Arial"/>
          <w:color w:val="000000" w:themeColor="text1"/>
          <w:sz w:val="20"/>
        </w:rPr>
      </w:pPr>
    </w:p>
    <w:p w14:paraId="1E1D415C" w14:textId="2C6FA89B" w:rsidR="00710894" w:rsidRDefault="003F349F" w:rsidP="001E7D72">
      <w:pPr>
        <w:pStyle w:val="Observation"/>
      </w:pPr>
      <w:bookmarkStart w:id="3" w:name="_Toc462737479"/>
      <w:bookmarkStart w:id="4" w:name="_Toc462737545"/>
      <w:bookmarkStart w:id="5" w:name="_Toc463003778"/>
      <w:bookmarkStart w:id="6" w:name="_Toc463003959"/>
      <w:bookmarkStart w:id="7" w:name="_Toc463027389"/>
      <w:bookmarkStart w:id="8" w:name="_Toc463028371"/>
      <w:r>
        <w:t>P</w:t>
      </w:r>
      <w:r w:rsidR="00710894">
        <w:t>acket delay variations introduced by RAN is manifested as a jitter buffer delay in the receive side of UEs</w:t>
      </w:r>
      <w:bookmarkEnd w:id="3"/>
      <w:bookmarkEnd w:id="4"/>
      <w:bookmarkEnd w:id="5"/>
      <w:bookmarkEnd w:id="6"/>
      <w:bookmarkEnd w:id="7"/>
      <w:r>
        <w:t>.</w:t>
      </w:r>
      <w:bookmarkEnd w:id="8"/>
      <w:r w:rsidR="00710894">
        <w:t xml:space="preserve"> </w:t>
      </w:r>
    </w:p>
    <w:p w14:paraId="01C9BF77" w14:textId="77777777" w:rsidR="001E7D72" w:rsidRDefault="001E7D72" w:rsidP="001E7D72"/>
    <w:p w14:paraId="313A688D" w14:textId="45CEC849" w:rsidR="00710894" w:rsidRDefault="00EA2585" w:rsidP="001E7D72">
      <w:r>
        <w:t>For VoLTE, t</w:t>
      </w:r>
      <w:r w:rsidRPr="00EA2585">
        <w:t>he dedicated bearer for Conversational Voice must utilise the standardised QCI value of one</w:t>
      </w:r>
      <w:r w:rsidR="003F349F">
        <w:t>, “</w:t>
      </w:r>
      <w:r w:rsidRPr="00EA2585">
        <w:t>1</w:t>
      </w:r>
      <w:r w:rsidR="003F349F">
        <w:t>”,</w:t>
      </w:r>
      <w:r w:rsidRPr="00EA2585">
        <w:t xml:space="preserve"> and have the associated characteristics as specified in </w:t>
      </w:r>
      <w:r>
        <w:fldChar w:fldCharType="begin"/>
      </w:r>
      <w:r>
        <w:instrText xml:space="preserve"> REF _Ref462669187 \r \h </w:instrText>
      </w:r>
      <w:r w:rsidR="001E7D72">
        <w:instrText xml:space="preserve"> \* MERGEFORMAT </w:instrText>
      </w:r>
      <w:r>
        <w:fldChar w:fldCharType="separate"/>
      </w:r>
      <w:r>
        <w:t>[6]</w:t>
      </w:r>
      <w:r>
        <w:fldChar w:fldCharType="end"/>
      </w:r>
      <w:r>
        <w:t xml:space="preserve"> </w:t>
      </w:r>
      <w:r w:rsidR="00710894">
        <w:t xml:space="preserve">with a maximum </w:t>
      </w:r>
      <w:r>
        <w:t xml:space="preserve">packet delay budget </w:t>
      </w:r>
      <w:r w:rsidR="00710894">
        <w:t>(PDB) of 100ms and a maximum loss rate of 1%. A delay of 20 ms for the delay between a PCEF and the eNB should be subtracted from a given PDB to derive the packet delay budget that applies to the radio interface</w:t>
      </w:r>
      <w:r w:rsidR="00933737">
        <w:t>. The jitter buffer in the rec</w:t>
      </w:r>
      <w:r w:rsidR="001E7D72">
        <w:t>e</w:t>
      </w:r>
      <w:r w:rsidR="00933737">
        <w:t>ive side of the UE does not operate based on the absolute delay of the packets but rather on the packet delay variations.</w:t>
      </w:r>
    </w:p>
    <w:p w14:paraId="68870EC3" w14:textId="77777777" w:rsidR="001E7D72" w:rsidRDefault="001E7D72" w:rsidP="001E7D72"/>
    <w:p w14:paraId="39351E6D" w14:textId="3760B274" w:rsidR="00EA2585" w:rsidRDefault="00710894" w:rsidP="001E7D72">
      <w:pPr>
        <w:pStyle w:val="Observation"/>
      </w:pPr>
      <w:bookmarkStart w:id="9" w:name="_Toc462737480"/>
      <w:bookmarkStart w:id="10" w:name="_Toc462737546"/>
      <w:bookmarkStart w:id="11" w:name="_Toc463003779"/>
      <w:bookmarkStart w:id="12" w:name="_Toc463003960"/>
      <w:bookmarkStart w:id="13" w:name="_Toc463027390"/>
      <w:bookmarkStart w:id="14" w:name="_Toc463028372"/>
      <w:r>
        <w:t xml:space="preserve">The variable component (i.e. packet delay variations) within the </w:t>
      </w:r>
      <w:r w:rsidR="00E01B0E">
        <w:t xml:space="preserve">PDB of the radio interface </w:t>
      </w:r>
      <w:r>
        <w:t>is in the mouth-to-ear delay budge</w:t>
      </w:r>
      <w:r w:rsidR="00933737">
        <w:t xml:space="preserve">t attributed to the UE and </w:t>
      </w:r>
      <w:r>
        <w:t xml:space="preserve">the constant </w:t>
      </w:r>
      <w:r w:rsidR="00E01B0E">
        <w:t>radio</w:t>
      </w:r>
      <w:r>
        <w:t xml:space="preserve"> interface delay is attributed to the RAN.</w:t>
      </w:r>
      <w:bookmarkEnd w:id="9"/>
      <w:bookmarkEnd w:id="10"/>
      <w:bookmarkEnd w:id="11"/>
      <w:bookmarkEnd w:id="12"/>
      <w:bookmarkEnd w:id="13"/>
      <w:bookmarkEnd w:id="14"/>
      <w:r>
        <w:t xml:space="preserve">   </w:t>
      </w:r>
    </w:p>
    <w:p w14:paraId="32C9FFD4" w14:textId="77777777" w:rsidR="001E7D72" w:rsidRDefault="001E7D72" w:rsidP="001E7D72"/>
    <w:p w14:paraId="019CD8BB" w14:textId="2A484D4B" w:rsidR="003D1CC8" w:rsidRDefault="005374E2" w:rsidP="001E7D72">
      <w:r>
        <w:t>The transport network delay is dependent on the routing of the call and the physical location of the two parties. Example of packet delay for different</w:t>
      </w:r>
      <w:r w:rsidR="003D1CC8">
        <w:t xml:space="preserve"> call scenarios is presented in</w:t>
      </w:r>
      <w:r>
        <w:t xml:space="preserve"> </w:t>
      </w:r>
      <w:r w:rsidR="003D1CC8">
        <w:fldChar w:fldCharType="begin"/>
      </w:r>
      <w:r w:rsidR="003D1CC8">
        <w:instrText xml:space="preserve"> REF _Ref462603664 \r \h </w:instrText>
      </w:r>
      <w:r w:rsidR="001E7D72">
        <w:instrText xml:space="preserve"> \* MERGEFORMAT </w:instrText>
      </w:r>
      <w:r w:rsidR="003D1CC8">
        <w:fldChar w:fldCharType="separate"/>
      </w:r>
      <w:r w:rsidR="00EA2585">
        <w:t>[7]</w:t>
      </w:r>
      <w:r w:rsidR="003D1CC8">
        <w:fldChar w:fldCharType="end"/>
      </w:r>
      <w:r w:rsidR="003D1CC8">
        <w:t xml:space="preserve"> and it is considered that at least 20ms delay is added by the transport network.</w:t>
      </w:r>
    </w:p>
    <w:p w14:paraId="2C970C61" w14:textId="7E7F0512" w:rsidR="00C31485" w:rsidRDefault="00E01B0E" w:rsidP="001E7D72">
      <w:r>
        <w:t>Adding the delay from the UE (assuming the perf</w:t>
      </w:r>
      <w:r w:rsidR="00FE6F7E">
        <w:t>o</w:t>
      </w:r>
      <w:r>
        <w:t>r</w:t>
      </w:r>
      <w:r w:rsidR="00FE6F7E">
        <w:t xml:space="preserve">mance </w:t>
      </w:r>
      <w:r>
        <w:t>objective)</w:t>
      </w:r>
      <w:r w:rsidR="003D1CC8">
        <w:t xml:space="preserve">, the </w:t>
      </w:r>
      <w:r>
        <w:t xml:space="preserve">effect of the radio interface, and the fixed transport, the </w:t>
      </w:r>
      <w:r w:rsidR="003D1CC8">
        <w:t xml:space="preserve">one-way </w:t>
      </w:r>
      <w:r>
        <w:t>transmission delay will be above</w:t>
      </w:r>
      <w:r w:rsidR="003D1CC8">
        <w:t xml:space="preserve"> 200ms also with a very short </w:t>
      </w:r>
      <w:r w:rsidR="0071229E">
        <w:t>transport</w:t>
      </w:r>
      <w:r w:rsidR="003D1CC8">
        <w:t xml:space="preserve"> de</w:t>
      </w:r>
      <w:r w:rsidR="003F349F">
        <w:t>lay and RAN delay contribution.</w:t>
      </w:r>
    </w:p>
    <w:p w14:paraId="69F28A42" w14:textId="77777777" w:rsidR="003F349F" w:rsidRDefault="003F349F" w:rsidP="001E7D72"/>
    <w:p w14:paraId="58559EFB" w14:textId="0134E1B0" w:rsidR="00C31485" w:rsidRDefault="00C31485" w:rsidP="001E7D72">
      <w:pPr>
        <w:pStyle w:val="Observation"/>
      </w:pPr>
      <w:bookmarkStart w:id="15" w:name="_Toc462737481"/>
      <w:bookmarkStart w:id="16" w:name="_Toc462737547"/>
      <w:bookmarkStart w:id="17" w:name="_Toc463003780"/>
      <w:bookmarkStart w:id="18" w:name="_Toc463003961"/>
      <w:bookmarkStart w:id="19" w:name="_Toc463027391"/>
      <w:bookmarkStart w:id="20" w:name="_Toc463028373"/>
      <w:r>
        <w:t>The typical delay of a VoLTE call is at the limit were the mouth-to-ear delay is noticeable to the end-user and the packet delay should be kept to a minimum to improve the conversational quality.</w:t>
      </w:r>
      <w:bookmarkEnd w:id="15"/>
      <w:bookmarkEnd w:id="16"/>
      <w:bookmarkEnd w:id="17"/>
      <w:bookmarkEnd w:id="18"/>
      <w:bookmarkEnd w:id="19"/>
      <w:bookmarkEnd w:id="20"/>
      <w:r>
        <w:t xml:space="preserve">   </w:t>
      </w:r>
    </w:p>
    <w:p w14:paraId="7B213D06" w14:textId="77777777" w:rsidR="003F349F" w:rsidRDefault="003F349F" w:rsidP="001E7D72"/>
    <w:p w14:paraId="52B27893" w14:textId="0DAB2E70" w:rsidR="0011654C" w:rsidRDefault="003D1CC8" w:rsidP="001E7D72">
      <w:r>
        <w:t xml:space="preserve">In </w:t>
      </w:r>
      <w:r>
        <w:fldChar w:fldCharType="begin"/>
      </w:r>
      <w:r>
        <w:instrText xml:space="preserve"> REF _Ref462604039 \r \h </w:instrText>
      </w:r>
      <w:r w:rsidR="001E7D72">
        <w:instrText xml:space="preserve"> \* MERGEFORMAT </w:instrText>
      </w:r>
      <w:r>
        <w:fldChar w:fldCharType="separate"/>
      </w:r>
      <w:r w:rsidR="00EA2585">
        <w:t>[7]</w:t>
      </w:r>
      <w:r>
        <w:fldChar w:fldCharType="end"/>
      </w:r>
      <w:r>
        <w:t xml:space="preserve"> it is stated (</w:t>
      </w:r>
      <w:r w:rsidR="0011654C">
        <w:t xml:space="preserve">8.2.3.1) </w:t>
      </w:r>
    </w:p>
    <w:p w14:paraId="3F165861" w14:textId="2F84606E" w:rsidR="00071EB6" w:rsidRDefault="0011654C" w:rsidP="001E7D72">
      <w:pPr>
        <w:rPr>
          <w:i/>
        </w:rPr>
      </w:pPr>
      <w:r w:rsidRPr="0011654C">
        <w:rPr>
          <w:i/>
        </w:rPr>
        <w:t>“If the limit of jitter induced concealment operations cannot be met, it is always preferred to increase the buffering time in order to avoid growing jitter induced concealment operations going beyond the stated limit above. This guideline applies even if that means that end-to-end delay requirement given in 3GPP TS 22.105 [34] can no longer be met.”</w:t>
      </w:r>
    </w:p>
    <w:p w14:paraId="57495B3A" w14:textId="055C71DC" w:rsidR="00071EB6" w:rsidRDefault="0011654C" w:rsidP="001E7D72">
      <w:r>
        <w:lastRenderedPageBreak/>
        <w:t xml:space="preserve">Although this is not directly referencing the operation of RAN, it is however considered that it is </w:t>
      </w:r>
      <w:r w:rsidR="0098218C">
        <w:t>equally</w:t>
      </w:r>
      <w:r w:rsidR="001A089D">
        <w:t xml:space="preserve"> applica</w:t>
      </w:r>
      <w:r w:rsidR="00C31485">
        <w:t xml:space="preserve">ble to RAN. </w:t>
      </w:r>
      <w:r w:rsidR="003F349F">
        <w:t>Regarding</w:t>
      </w:r>
      <w:r w:rsidR="001A089D">
        <w:t xml:space="preserve"> </w:t>
      </w:r>
      <w:r w:rsidR="001A089D">
        <w:fldChar w:fldCharType="begin"/>
      </w:r>
      <w:r w:rsidR="001A089D">
        <w:instrText xml:space="preserve"> REF _Ref462604769 \h </w:instrText>
      </w:r>
      <w:r w:rsidR="001E7D72">
        <w:instrText xml:space="preserve"> \* MERGEFORMAT </w:instrText>
      </w:r>
      <w:r w:rsidR="001A089D">
        <w:fldChar w:fldCharType="separate"/>
      </w:r>
      <w:r w:rsidR="001A089D">
        <w:t xml:space="preserve">Figure </w:t>
      </w:r>
      <w:r w:rsidR="001A089D">
        <w:rPr>
          <w:noProof/>
        </w:rPr>
        <w:t>2</w:t>
      </w:r>
      <w:r w:rsidR="001A089D">
        <w:fldChar w:fldCharType="end"/>
      </w:r>
      <w:r w:rsidR="00E03845">
        <w:t>, it is</w:t>
      </w:r>
      <w:r w:rsidR="001A089D">
        <w:t xml:space="preserve"> thus concluded that </w:t>
      </w:r>
      <w:r>
        <w:t>in a situation where RAN has</w:t>
      </w:r>
      <w:r w:rsidR="001A089D">
        <w:t xml:space="preserve"> either of the two options (A) of extending the packet delay and keeping the packet loss at a low level or (B) of k</w:t>
      </w:r>
      <w:r>
        <w:t xml:space="preserve">eeping the delay and delay variations within pre-defined level and </w:t>
      </w:r>
      <w:r w:rsidR="0098218C">
        <w:t>introducing</w:t>
      </w:r>
      <w:r w:rsidR="001A089D">
        <w:t xml:space="preserve"> extra packet loss, </w:t>
      </w:r>
      <w:r>
        <w:t xml:space="preserve">it is always preferred to </w:t>
      </w:r>
      <w:r w:rsidR="001A089D">
        <w:t>allow for an increased delay and keeping the loss rate low.</w:t>
      </w:r>
    </w:p>
    <w:p w14:paraId="15F3E5DB" w14:textId="30D37996" w:rsidR="0098218C" w:rsidRDefault="00067808" w:rsidP="001E7D72">
      <w:pPr>
        <w:keepNext/>
      </w:pPr>
      <w:r>
        <w:rPr>
          <w:noProof/>
          <w:lang w:val="en-US" w:eastAsia="en-US"/>
        </w:rPr>
        <w:drawing>
          <wp:inline distT="0" distB="0" distL="0" distR="0" wp14:anchorId="636B82E4" wp14:editId="4A9188CD">
            <wp:extent cx="6092456" cy="235113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0231" cy="2354132"/>
                    </a:xfrm>
                    <a:prstGeom prst="rect">
                      <a:avLst/>
                    </a:prstGeom>
                    <a:noFill/>
                  </pic:spPr>
                </pic:pic>
              </a:graphicData>
            </a:graphic>
          </wp:inline>
        </w:drawing>
      </w:r>
    </w:p>
    <w:p w14:paraId="3B23A75C" w14:textId="52CECA84" w:rsidR="00071EB6" w:rsidRDefault="0098218C" w:rsidP="001E7D72">
      <w:pPr>
        <w:pStyle w:val="Caption"/>
      </w:pPr>
      <w:bookmarkStart w:id="21" w:name="_Ref462604769"/>
      <w:r>
        <w:t xml:space="preserve">Figure </w:t>
      </w:r>
      <w:r>
        <w:fldChar w:fldCharType="begin"/>
      </w:r>
      <w:r>
        <w:instrText xml:space="preserve"> SEQ Figure \* ARABIC </w:instrText>
      </w:r>
      <w:r>
        <w:fldChar w:fldCharType="separate"/>
      </w:r>
      <w:r w:rsidR="00EA2585">
        <w:rPr>
          <w:noProof/>
        </w:rPr>
        <w:t>2</w:t>
      </w:r>
      <w:r>
        <w:fldChar w:fldCharType="end"/>
      </w:r>
      <w:bookmarkEnd w:id="21"/>
      <w:r>
        <w:t xml:space="preserve">: </w:t>
      </w:r>
      <w:r w:rsidR="0011654C">
        <w:t>One</w:t>
      </w:r>
      <w:r w:rsidR="001A4516">
        <w:t>-</w:t>
      </w:r>
      <w:r w:rsidR="0011654C">
        <w:t>way transmission delay vs packet loss for different RAN operation.</w:t>
      </w:r>
    </w:p>
    <w:p w14:paraId="6CD8983B" w14:textId="77777777" w:rsidR="001E7D72" w:rsidRPr="001E7D72" w:rsidRDefault="001E7D72" w:rsidP="001E7D72"/>
    <w:p w14:paraId="54DA01F1" w14:textId="53AA5C52" w:rsidR="003742AC" w:rsidRDefault="00415472" w:rsidP="001E7D72">
      <w:pPr>
        <w:pStyle w:val="Observation"/>
      </w:pPr>
      <w:bookmarkStart w:id="22" w:name="_Toc462667769"/>
      <w:bookmarkStart w:id="23" w:name="_Toc462668411"/>
      <w:bookmarkStart w:id="24" w:name="_Toc462669192"/>
      <w:bookmarkStart w:id="25" w:name="_Toc462737482"/>
      <w:bookmarkStart w:id="26" w:name="_Toc462737548"/>
      <w:bookmarkStart w:id="27" w:name="_Toc463003781"/>
      <w:bookmarkStart w:id="28" w:name="_Toc463003962"/>
      <w:bookmarkStart w:id="29" w:name="_Toc463027392"/>
      <w:bookmarkStart w:id="30" w:name="_Toc463028374"/>
      <w:r>
        <w:t>For a VoLTE call it</w:t>
      </w:r>
      <w:r w:rsidR="00E40DA1">
        <w:t xml:space="preserve"> is preferred to increase the packet delay if the alternative is to introduce packet loss</w:t>
      </w:r>
      <w:bookmarkEnd w:id="22"/>
      <w:bookmarkEnd w:id="23"/>
      <w:bookmarkEnd w:id="24"/>
      <w:r w:rsidR="001A089D">
        <w:t>.</w:t>
      </w:r>
      <w:bookmarkEnd w:id="25"/>
      <w:bookmarkEnd w:id="26"/>
      <w:bookmarkEnd w:id="27"/>
      <w:bookmarkEnd w:id="28"/>
      <w:bookmarkEnd w:id="29"/>
      <w:bookmarkEnd w:id="30"/>
    </w:p>
    <w:p w14:paraId="25DEF2F7" w14:textId="77777777" w:rsidR="001E7D72" w:rsidRDefault="001E7D72" w:rsidP="001E7D72">
      <w:pPr>
        <w:pStyle w:val="NormalParagraph"/>
        <w:jc w:val="both"/>
        <w:rPr>
          <w:rFonts w:eastAsia="Times New Roman"/>
          <w:sz w:val="20"/>
          <w:szCs w:val="20"/>
          <w:lang w:val="en-GB"/>
        </w:rPr>
      </w:pPr>
    </w:p>
    <w:p w14:paraId="67E94BBD" w14:textId="4F39F484" w:rsidR="00C31485" w:rsidRDefault="00C31485" w:rsidP="001E7D72">
      <w:pPr>
        <w:pStyle w:val="NormalParagraph"/>
        <w:jc w:val="both"/>
        <w:rPr>
          <w:rFonts w:eastAsia="Times New Roman"/>
          <w:sz w:val="20"/>
          <w:szCs w:val="20"/>
          <w:lang w:val="en-GB"/>
        </w:rPr>
      </w:pPr>
      <w:r w:rsidRPr="00C31485">
        <w:rPr>
          <w:rFonts w:eastAsia="Times New Roman"/>
          <w:sz w:val="20"/>
          <w:szCs w:val="20"/>
          <w:lang w:val="en-GB"/>
        </w:rPr>
        <w:t>Based on the observations</w:t>
      </w:r>
      <w:r>
        <w:rPr>
          <w:rFonts w:eastAsia="Times New Roman"/>
          <w:sz w:val="20"/>
          <w:szCs w:val="20"/>
          <w:lang w:val="en-GB"/>
        </w:rPr>
        <w:t xml:space="preserve"> </w:t>
      </w:r>
      <w:r w:rsidR="00E03845">
        <w:rPr>
          <w:rFonts w:eastAsia="Times New Roman"/>
          <w:sz w:val="20"/>
          <w:szCs w:val="20"/>
          <w:lang w:val="en-GB"/>
        </w:rPr>
        <w:t>above, it is concluded that the</w:t>
      </w:r>
      <w:r>
        <w:rPr>
          <w:rFonts w:eastAsia="Times New Roman"/>
          <w:sz w:val="20"/>
          <w:szCs w:val="20"/>
          <w:lang w:val="en-GB"/>
        </w:rPr>
        <w:t xml:space="preserve"> </w:t>
      </w:r>
      <w:r w:rsidR="00E03845">
        <w:rPr>
          <w:rFonts w:eastAsia="Times New Roman"/>
          <w:sz w:val="20"/>
          <w:szCs w:val="20"/>
          <w:lang w:val="en-GB"/>
        </w:rPr>
        <w:t xml:space="preserve">benefits </w:t>
      </w:r>
      <w:r>
        <w:rPr>
          <w:rFonts w:eastAsia="Times New Roman"/>
          <w:sz w:val="20"/>
          <w:szCs w:val="20"/>
          <w:lang w:val="en-GB"/>
        </w:rPr>
        <w:t>for the eNB to know the end-to-end delay</w:t>
      </w:r>
      <w:r w:rsidR="00E03845">
        <w:rPr>
          <w:rFonts w:eastAsia="Times New Roman"/>
          <w:sz w:val="20"/>
          <w:szCs w:val="20"/>
          <w:lang w:val="en-GB"/>
        </w:rPr>
        <w:t xml:space="preserve"> would be minor </w:t>
      </w:r>
      <w:r>
        <w:rPr>
          <w:rFonts w:eastAsia="Times New Roman"/>
          <w:sz w:val="20"/>
          <w:szCs w:val="20"/>
          <w:lang w:val="en-GB"/>
        </w:rPr>
        <w:t>since if the alternative to increase the delay is to introduce loss then it is preferred to increase the delay.</w:t>
      </w:r>
      <w:r w:rsidRPr="00C31485">
        <w:rPr>
          <w:rFonts w:eastAsia="Times New Roman"/>
          <w:sz w:val="20"/>
          <w:szCs w:val="20"/>
          <w:lang w:val="en-GB"/>
        </w:rPr>
        <w:t xml:space="preserve"> </w:t>
      </w:r>
    </w:p>
    <w:p w14:paraId="7C0B76BC" w14:textId="44279F65" w:rsidR="00C31485" w:rsidRPr="00C31485" w:rsidRDefault="005E43F7" w:rsidP="001E7D72">
      <w:pPr>
        <w:pStyle w:val="Proposal"/>
        <w:tabs>
          <w:tab w:val="num" w:pos="9667"/>
        </w:tabs>
      </w:pPr>
      <w:bookmarkStart w:id="31" w:name="_Toc455503593"/>
      <w:bookmarkStart w:id="32" w:name="_Toc455503618"/>
      <w:bookmarkStart w:id="33" w:name="_Toc458617929"/>
      <w:bookmarkStart w:id="34" w:name="_Toc458619621"/>
      <w:bookmarkStart w:id="35" w:name="_Toc462737971"/>
      <w:bookmarkStart w:id="36" w:name="_Toc463003965"/>
      <w:bookmarkStart w:id="37" w:name="_Toc463004105"/>
      <w:bookmarkStart w:id="38" w:name="_Toc463004506"/>
      <w:bookmarkStart w:id="39" w:name="_Toc463027393"/>
      <w:bookmarkStart w:id="40" w:name="_Toc463028375"/>
      <w:bookmarkStart w:id="41" w:name="_Toc463028809"/>
      <w:bookmarkEnd w:id="31"/>
      <w:bookmarkEnd w:id="32"/>
      <w:bookmarkEnd w:id="33"/>
      <w:bookmarkEnd w:id="34"/>
      <w:r>
        <w:t>No new mechanism for eNB awareness of available delay in air interface is specified unless significant benefits are shown</w:t>
      </w:r>
      <w:r w:rsidR="00933737">
        <w:t xml:space="preserve"> from an end-to-end perspective</w:t>
      </w:r>
      <w:bookmarkEnd w:id="35"/>
      <w:bookmarkEnd w:id="36"/>
      <w:bookmarkEnd w:id="37"/>
      <w:bookmarkEnd w:id="38"/>
      <w:bookmarkEnd w:id="39"/>
      <w:bookmarkEnd w:id="40"/>
      <w:r>
        <w:t>.</w:t>
      </w:r>
      <w:bookmarkEnd w:id="41"/>
    </w:p>
    <w:p w14:paraId="145F1D54" w14:textId="62783BE7" w:rsidR="00C31485" w:rsidRPr="00CE0424" w:rsidRDefault="00C31485" w:rsidP="001E7D72">
      <w:pPr>
        <w:pStyle w:val="Observation"/>
        <w:numPr>
          <w:ilvl w:val="0"/>
          <w:numId w:val="0"/>
        </w:numPr>
      </w:pPr>
      <w:bookmarkStart w:id="42" w:name="_Toc462737483"/>
      <w:bookmarkEnd w:id="42"/>
    </w:p>
    <w:p w14:paraId="4A8950CB" w14:textId="77777777" w:rsidR="00C01F33" w:rsidRPr="00CE0424" w:rsidRDefault="00C01F33" w:rsidP="001E7D72">
      <w:pPr>
        <w:pStyle w:val="Heading1"/>
        <w:jc w:val="both"/>
      </w:pPr>
      <w:r w:rsidRPr="00CE0424">
        <w:t>Conclusion</w:t>
      </w:r>
    </w:p>
    <w:p w14:paraId="0F063C97" w14:textId="0A7D6CEE" w:rsidR="001E7D72" w:rsidRDefault="001E7D72" w:rsidP="001E7D72">
      <w:pPr>
        <w:pStyle w:val="BodyText"/>
      </w:pPr>
      <w:r w:rsidRPr="00C31485">
        <w:t>I</w:t>
      </w:r>
      <w:r w:rsidR="00795837">
        <w:t xml:space="preserve">n this contribution we discuss </w:t>
      </w:r>
      <w:r w:rsidRPr="00C31485">
        <w:t>RAN air interface delay in an end-to-end context.</w:t>
      </w:r>
      <w:r w:rsidR="003F349F">
        <w:t xml:space="preserve"> </w:t>
      </w:r>
      <w:r w:rsidR="00C31485">
        <w:t xml:space="preserve">In section </w:t>
      </w:r>
      <w:r w:rsidR="00C31485" w:rsidRPr="00CE0424">
        <w:rPr>
          <w:highlight w:val="cyan"/>
        </w:rPr>
        <w:fldChar w:fldCharType="begin"/>
      </w:r>
      <w:r w:rsidR="00C31485" w:rsidRPr="00CE0424">
        <w:instrText xml:space="preserve"> REF _Ref178064866 \r \h </w:instrText>
      </w:r>
      <w:r>
        <w:rPr>
          <w:highlight w:val="cyan"/>
        </w:rPr>
        <w:instrText xml:space="preserve"> \* MERGEFORMAT </w:instrText>
      </w:r>
      <w:r w:rsidR="00C31485" w:rsidRPr="00CE0424">
        <w:rPr>
          <w:highlight w:val="cyan"/>
        </w:rPr>
      </w:r>
      <w:r w:rsidR="00C31485" w:rsidRPr="00CE0424">
        <w:rPr>
          <w:highlight w:val="cyan"/>
        </w:rPr>
        <w:fldChar w:fldCharType="separate"/>
      </w:r>
      <w:r w:rsidR="00C31485">
        <w:t>2</w:t>
      </w:r>
      <w:r w:rsidR="00C31485" w:rsidRPr="00CE0424">
        <w:rPr>
          <w:highlight w:val="cyan"/>
        </w:rPr>
        <w:fldChar w:fldCharType="end"/>
      </w:r>
      <w:r w:rsidR="00C31485" w:rsidRPr="00CE0424">
        <w:t xml:space="preserve"> we </w:t>
      </w:r>
      <w:r w:rsidR="00C31485">
        <w:t>made the following observations</w:t>
      </w:r>
      <w:r w:rsidR="00C31485" w:rsidRPr="00CE0424">
        <w:t>:</w:t>
      </w:r>
    </w:p>
    <w:p w14:paraId="457F76D7" w14:textId="77777777" w:rsidR="003F349F" w:rsidRDefault="00C31485" w:rsidP="003F349F">
      <w:pPr>
        <w:pStyle w:val="TOC1"/>
        <w:jc w:val="both"/>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3F349F" w:rsidRPr="00BE4B23">
        <w:t>Observation 1</w:t>
      </w:r>
      <w:r w:rsidR="003F349F">
        <w:rPr>
          <w:rFonts w:asciiTheme="minorHAnsi" w:eastAsiaTheme="minorEastAsia" w:hAnsiTheme="minorHAnsi" w:cstheme="minorBidi"/>
          <w:b w:val="0"/>
          <w:sz w:val="22"/>
          <w:lang w:eastAsia="en-US"/>
        </w:rPr>
        <w:tab/>
      </w:r>
      <w:r w:rsidR="003F349F">
        <w:t>Packet delay variations introduced by RAN is manifested as a jitter buffer delay in the receive side of UEs.</w:t>
      </w:r>
    </w:p>
    <w:p w14:paraId="45FF01A1" w14:textId="77777777" w:rsidR="003F349F" w:rsidRDefault="003F349F" w:rsidP="003F349F">
      <w:pPr>
        <w:pStyle w:val="TOC1"/>
        <w:jc w:val="both"/>
        <w:rPr>
          <w:rFonts w:asciiTheme="minorHAnsi" w:eastAsiaTheme="minorEastAsia" w:hAnsiTheme="minorHAnsi" w:cstheme="minorBidi"/>
          <w:b w:val="0"/>
          <w:sz w:val="22"/>
          <w:lang w:eastAsia="en-US"/>
        </w:rPr>
      </w:pPr>
      <w:r w:rsidRPr="00BE4B23">
        <w:t>Observation 2</w:t>
      </w:r>
      <w:r>
        <w:rPr>
          <w:rFonts w:asciiTheme="minorHAnsi" w:eastAsiaTheme="minorEastAsia" w:hAnsiTheme="minorHAnsi" w:cstheme="minorBidi"/>
          <w:b w:val="0"/>
          <w:sz w:val="22"/>
          <w:lang w:eastAsia="en-US"/>
        </w:rPr>
        <w:tab/>
      </w:r>
      <w:r>
        <w:t>The variable component (i.e. packet delay variations) within the PDB of the radio interface is in the mouth-to-ear delay budget attributed to the UE and the constant radio interface delay is attributed to the RAN.</w:t>
      </w:r>
    </w:p>
    <w:p w14:paraId="62EE4A10" w14:textId="77777777" w:rsidR="003F349F" w:rsidRDefault="003F349F" w:rsidP="003F349F">
      <w:pPr>
        <w:pStyle w:val="TOC1"/>
        <w:jc w:val="both"/>
        <w:rPr>
          <w:rFonts w:asciiTheme="minorHAnsi" w:eastAsiaTheme="minorEastAsia" w:hAnsiTheme="minorHAnsi" w:cstheme="minorBidi"/>
          <w:b w:val="0"/>
          <w:sz w:val="22"/>
          <w:lang w:eastAsia="en-US"/>
        </w:rPr>
      </w:pPr>
      <w:r w:rsidRPr="00BE4B23">
        <w:t>Observation 3</w:t>
      </w:r>
      <w:r>
        <w:rPr>
          <w:rFonts w:asciiTheme="minorHAnsi" w:eastAsiaTheme="minorEastAsia" w:hAnsiTheme="minorHAnsi" w:cstheme="minorBidi"/>
          <w:b w:val="0"/>
          <w:sz w:val="22"/>
          <w:lang w:eastAsia="en-US"/>
        </w:rPr>
        <w:tab/>
      </w:r>
      <w:r>
        <w:t>The typical delay of a VoLTE call is at the limit were the mouth-to-ear delay is noticeable to the end-user and the packet delay should be kept to a minimum to improve the conversational quality.</w:t>
      </w:r>
    </w:p>
    <w:p w14:paraId="6A9C3A13" w14:textId="77777777" w:rsidR="003F349F" w:rsidRDefault="003F349F" w:rsidP="003F349F">
      <w:pPr>
        <w:pStyle w:val="TOC1"/>
        <w:jc w:val="both"/>
        <w:rPr>
          <w:rFonts w:asciiTheme="minorHAnsi" w:eastAsiaTheme="minorEastAsia" w:hAnsiTheme="minorHAnsi" w:cstheme="minorBidi"/>
          <w:b w:val="0"/>
          <w:sz w:val="22"/>
          <w:lang w:eastAsia="en-US"/>
        </w:rPr>
      </w:pPr>
      <w:r w:rsidRPr="00BE4B23">
        <w:t>Observation 4</w:t>
      </w:r>
      <w:r>
        <w:rPr>
          <w:rFonts w:asciiTheme="minorHAnsi" w:eastAsiaTheme="minorEastAsia" w:hAnsiTheme="minorHAnsi" w:cstheme="minorBidi"/>
          <w:b w:val="0"/>
          <w:sz w:val="22"/>
          <w:lang w:eastAsia="en-US"/>
        </w:rPr>
        <w:tab/>
      </w:r>
      <w:r>
        <w:t>For a VoLTE call it is preferred to increase the packet delay if the alternative is to introduce packet loss.</w:t>
      </w:r>
    </w:p>
    <w:p w14:paraId="3C25A1E7" w14:textId="71BEF30F" w:rsidR="00C31485" w:rsidRDefault="00C31485" w:rsidP="003F349F">
      <w:pPr>
        <w:pStyle w:val="BodyText"/>
        <w:rPr>
          <w:b/>
          <w:bCs/>
        </w:rPr>
      </w:pPr>
      <w:r>
        <w:rPr>
          <w:b/>
          <w:bCs/>
        </w:rPr>
        <w:fldChar w:fldCharType="end"/>
      </w:r>
    </w:p>
    <w:p w14:paraId="1453031F" w14:textId="77777777" w:rsidR="005E43F7" w:rsidRDefault="00C31485" w:rsidP="005E43F7">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001E7D72">
        <w:rPr>
          <w:highlight w:val="cyan"/>
        </w:rPr>
        <w:instrText xml:space="preserve"> \* MERGEFORMAT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4FAB89D0" w14:textId="77777777" w:rsidR="005E43F7" w:rsidRDefault="005E43F7" w:rsidP="005E43F7">
      <w:pPr>
        <w:pStyle w:val="TOC1"/>
        <w:jc w:val="both"/>
        <w:rPr>
          <w:rFonts w:asciiTheme="minorHAnsi" w:eastAsiaTheme="minorEastAsia" w:hAnsiTheme="minorHAnsi" w:cstheme="minorBidi"/>
          <w:b w:val="0"/>
          <w:sz w:val="22"/>
          <w:lang w:eastAsia="en-US"/>
        </w:rPr>
      </w:pPr>
      <w:r>
        <w:lastRenderedPageBreak/>
        <w:t>Proposal 1</w:t>
      </w:r>
      <w:r>
        <w:rPr>
          <w:rFonts w:asciiTheme="minorHAnsi" w:eastAsiaTheme="minorEastAsia" w:hAnsiTheme="minorHAnsi" w:cstheme="minorBidi"/>
          <w:b w:val="0"/>
          <w:sz w:val="22"/>
          <w:lang w:eastAsia="en-US"/>
        </w:rPr>
        <w:tab/>
      </w:r>
      <w:r>
        <w:t>No new mechanism for eNB awareness of available delay in air interface is specified unless significant benefits are shown from an end-to-end perspective.</w:t>
      </w:r>
    </w:p>
    <w:p w14:paraId="07D4036F" w14:textId="5BADA6DA" w:rsidR="00C01F33" w:rsidRPr="001A089D" w:rsidRDefault="00C31485" w:rsidP="005E43F7">
      <w:pPr>
        <w:pStyle w:val="BodyText"/>
        <w:rPr>
          <w:b/>
          <w:bCs/>
        </w:rPr>
      </w:pPr>
      <w:r>
        <w:rPr>
          <w:b/>
          <w:bCs/>
        </w:rPr>
        <w:fldChar w:fldCharType="end"/>
      </w:r>
    </w:p>
    <w:p w14:paraId="6B945C77" w14:textId="77777777" w:rsidR="00F507D1" w:rsidRPr="00CE0424" w:rsidRDefault="00F507D1" w:rsidP="00CE0424">
      <w:pPr>
        <w:pStyle w:val="Heading1"/>
      </w:pPr>
      <w:bookmarkStart w:id="43" w:name="_In-sequence_SDU_delivery"/>
      <w:bookmarkEnd w:id="43"/>
      <w:r w:rsidRPr="00CE0424">
        <w:t>References</w:t>
      </w:r>
    </w:p>
    <w:p w14:paraId="35AC2257" w14:textId="192B9264" w:rsidR="005F3025" w:rsidRDefault="009B110B" w:rsidP="009B110B">
      <w:pPr>
        <w:pStyle w:val="Reference"/>
      </w:pPr>
      <w:bookmarkStart w:id="44" w:name="_Ref462667309"/>
      <w:bookmarkStart w:id="45" w:name="_Ref174151459"/>
      <w:bookmarkStart w:id="46" w:name="_Ref189809556"/>
      <w:r>
        <w:t>RP-161815, “</w:t>
      </w:r>
      <w:r w:rsidRPr="009B110B">
        <w:t>New Work Item on Voice and Video enhancement for LTE</w:t>
      </w:r>
      <w:r>
        <w:t xml:space="preserve">”, </w:t>
      </w:r>
      <w:r w:rsidRPr="009B110B">
        <w:t>CMCC, Huawei, China Telecom</w:t>
      </w:r>
      <w:bookmarkEnd w:id="44"/>
    </w:p>
    <w:p w14:paraId="379BD168" w14:textId="2D7346E6" w:rsidR="00E40DA1" w:rsidRPr="00CE0424" w:rsidRDefault="00E40DA1" w:rsidP="00E40DA1">
      <w:pPr>
        <w:pStyle w:val="Reference"/>
      </w:pPr>
      <w:bookmarkStart w:id="47" w:name="_Ref462667577"/>
      <w:r w:rsidRPr="00E40DA1">
        <w:t>3GPP TR 36.750</w:t>
      </w:r>
      <w:r>
        <w:t>, “</w:t>
      </w:r>
      <w:r w:rsidRPr="00E40DA1">
        <w:t>Study on Voice and Video enhancement for LTE</w:t>
      </w:r>
      <w:r>
        <w:t>”</w:t>
      </w:r>
      <w:bookmarkEnd w:id="47"/>
    </w:p>
    <w:p w14:paraId="7AE3AFEC" w14:textId="59F321A2" w:rsidR="007A7BC3" w:rsidRDefault="007A7BC3" w:rsidP="007A7BC3">
      <w:pPr>
        <w:pStyle w:val="Reference"/>
        <w:rPr>
          <w:lang w:val="en-US"/>
        </w:rPr>
      </w:pPr>
      <w:bookmarkStart w:id="48" w:name="_Ref462602582"/>
      <w:bookmarkEnd w:id="45"/>
      <w:bookmarkEnd w:id="46"/>
      <w:r w:rsidRPr="007A7BC3">
        <w:rPr>
          <w:lang w:val="en-US"/>
        </w:rPr>
        <w:t>ITU-T Recommendation G.131: One-way transmission time</w:t>
      </w:r>
      <w:bookmarkEnd w:id="48"/>
    </w:p>
    <w:p w14:paraId="38D72DB9" w14:textId="686A72B5" w:rsidR="00887704" w:rsidRDefault="00887704" w:rsidP="00887704">
      <w:pPr>
        <w:pStyle w:val="Reference"/>
        <w:rPr>
          <w:lang w:val="en-US"/>
        </w:rPr>
      </w:pPr>
      <w:bookmarkStart w:id="49" w:name="_Ref462602982"/>
      <w:r w:rsidRPr="00887704">
        <w:rPr>
          <w:lang w:val="en-US"/>
        </w:rPr>
        <w:t>3GPP TS 26.131, “Terminal acoustic charac</w:t>
      </w:r>
      <w:r>
        <w:rPr>
          <w:lang w:val="en-US"/>
        </w:rPr>
        <w:t>teristics for telephony”</w:t>
      </w:r>
      <w:bookmarkEnd w:id="49"/>
    </w:p>
    <w:p w14:paraId="56BF8875" w14:textId="13F521DB" w:rsidR="0038252E" w:rsidRDefault="0038252E" w:rsidP="0038252E">
      <w:pPr>
        <w:pStyle w:val="Reference"/>
        <w:rPr>
          <w:lang w:val="en-US"/>
        </w:rPr>
      </w:pPr>
      <w:bookmarkStart w:id="50" w:name="_Ref462668226"/>
      <w:r>
        <w:rPr>
          <w:lang w:val="en-US"/>
        </w:rPr>
        <w:t>GSMA PRD IR.92, “</w:t>
      </w:r>
      <w:r w:rsidRPr="0038252E">
        <w:rPr>
          <w:lang w:val="en-US"/>
        </w:rPr>
        <w:t>IMS Profile for Voice and SMS</w:t>
      </w:r>
      <w:r>
        <w:rPr>
          <w:lang w:val="en-US"/>
        </w:rPr>
        <w:t>”</w:t>
      </w:r>
      <w:bookmarkEnd w:id="50"/>
    </w:p>
    <w:p w14:paraId="3E208914" w14:textId="5CDFE1F8" w:rsidR="00EA2585" w:rsidRDefault="00EA2585" w:rsidP="00EA2585">
      <w:pPr>
        <w:pStyle w:val="Reference"/>
        <w:rPr>
          <w:lang w:val="en-US"/>
        </w:rPr>
      </w:pPr>
      <w:bookmarkStart w:id="51" w:name="_Ref462669187"/>
      <w:r w:rsidRPr="00EA2585">
        <w:t>3GPP TS 23.203</w:t>
      </w:r>
      <w:r>
        <w:t>, “</w:t>
      </w:r>
      <w:r w:rsidRPr="00EA2585">
        <w:t>Policy and charging control architecture</w:t>
      </w:r>
      <w:r>
        <w:t>”</w:t>
      </w:r>
      <w:bookmarkEnd w:id="51"/>
    </w:p>
    <w:p w14:paraId="03F8D5C0" w14:textId="77777777" w:rsidR="0038252E" w:rsidRPr="00071EB6" w:rsidRDefault="0038252E" w:rsidP="0038252E">
      <w:pPr>
        <w:pStyle w:val="Reference"/>
        <w:rPr>
          <w:lang w:val="en-US"/>
        </w:rPr>
      </w:pPr>
      <w:bookmarkStart w:id="52" w:name="_Ref462604039"/>
      <w:bookmarkStart w:id="53" w:name="_Ref462603664"/>
      <w:r w:rsidRPr="00071EB6">
        <w:rPr>
          <w:lang w:val="en-US"/>
        </w:rPr>
        <w:t>3GPP TS 26.114, “IP Multimedia Subsystem (IMS); Multimedia Telephony; Media han</w:t>
      </w:r>
      <w:r>
        <w:rPr>
          <w:lang w:val="en-US"/>
        </w:rPr>
        <w:t>dling and interaction”</w:t>
      </w:r>
      <w:bookmarkEnd w:id="52"/>
    </w:p>
    <w:p w14:paraId="5F0E3766" w14:textId="600DC82B" w:rsidR="003A7EF3" w:rsidRPr="002E09AE" w:rsidRDefault="005374E2" w:rsidP="009D7C63">
      <w:pPr>
        <w:pStyle w:val="Reference"/>
        <w:rPr>
          <w:lang w:val="en-US"/>
        </w:rPr>
      </w:pPr>
      <w:r w:rsidRPr="002E09AE">
        <w:rPr>
          <w:lang w:val="en-US"/>
        </w:rPr>
        <w:t xml:space="preserve">GSMA PRD IR.35, </w:t>
      </w:r>
      <w:r w:rsidR="002E09AE">
        <w:rPr>
          <w:lang w:val="en-US"/>
        </w:rPr>
        <w:t>“</w:t>
      </w:r>
      <w:r w:rsidRPr="002E09AE">
        <w:rPr>
          <w:lang w:val="en-US"/>
        </w:rPr>
        <w:t>Guidelines for IPX Provider networks</w:t>
      </w:r>
      <w:r w:rsidR="002E09AE">
        <w:rPr>
          <w:lang w:val="en-US"/>
        </w:rPr>
        <w:t>”</w:t>
      </w:r>
      <w:r w:rsidRPr="002E09AE">
        <w:rPr>
          <w:lang w:val="en-US"/>
        </w:rPr>
        <w:t xml:space="preserve"> </w:t>
      </w:r>
      <w:bookmarkEnd w:id="53"/>
    </w:p>
    <w:sectPr w:rsidR="003A7EF3" w:rsidRPr="002E09AE">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92617" w14:textId="77777777" w:rsidR="00A02F47" w:rsidRDefault="00A02F47">
      <w:r>
        <w:separator/>
      </w:r>
    </w:p>
  </w:endnote>
  <w:endnote w:type="continuationSeparator" w:id="0">
    <w:p w14:paraId="28A67D71" w14:textId="77777777" w:rsidR="00A02F47" w:rsidRDefault="00A0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07E2F" w14:textId="270DD12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714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7144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CA65D7" w14:textId="77777777" w:rsidR="00A02F47" w:rsidRDefault="00A02F47">
      <w:r>
        <w:separator/>
      </w:r>
    </w:p>
  </w:footnote>
  <w:footnote w:type="continuationSeparator" w:id="0">
    <w:p w14:paraId="188D01D4" w14:textId="77777777" w:rsidR="00A02F47" w:rsidRDefault="00A02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3233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7464424"/>
    <w:multiLevelType w:val="hybridMultilevel"/>
    <w:tmpl w:val="B5F85C0C"/>
    <w:lvl w:ilvl="0" w:tplc="CED8C3C4">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51B6A43"/>
    <w:multiLevelType w:val="hybridMultilevel"/>
    <w:tmpl w:val="93FE17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B35650D"/>
    <w:multiLevelType w:val="hybridMultilevel"/>
    <w:tmpl w:val="DD3273A4"/>
    <w:lvl w:ilvl="0" w:tplc="0409000F">
      <w:start w:val="1"/>
      <w:numFmt w:val="decimal"/>
      <w:lvlText w:val="%1."/>
      <w:lvlJc w:val="left"/>
      <w:pPr>
        <w:ind w:left="720" w:hanging="360"/>
      </w:pPr>
      <w:rPr>
        <w:rFonts w:cs="Times New Roman"/>
      </w:rPr>
    </w:lvl>
    <w:lvl w:ilvl="1" w:tplc="F8ECF78E">
      <w:start w:val="1"/>
      <w:numFmt w:val="lowerLetter"/>
      <w:lvlText w:val="%2."/>
      <w:lvlJc w:val="left"/>
      <w:pPr>
        <w:ind w:left="1440" w:hanging="360"/>
      </w:pPr>
      <w:rPr>
        <w:rFonts w:cs="Times New Roman"/>
        <w:lang w:val="en-G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97A41186"/>
    <w:lvl w:ilvl="0" w:tplc="BECC16FA">
      <w:start w:val="1"/>
      <w:numFmt w:val="decimal"/>
      <w:pStyle w:val="Observation"/>
      <w:lvlText w:val="Observation %1"/>
      <w:lvlJc w:val="left"/>
      <w:pPr>
        <w:ind w:left="36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2"/>
  </w:num>
  <w:num w:numId="11">
    <w:abstractNumId w:val="1"/>
  </w:num>
  <w:num w:numId="12">
    <w:abstractNumId w:val="0"/>
  </w:num>
  <w:num w:numId="13">
    <w:abstractNumId w:val="15"/>
  </w:num>
  <w:num w:numId="14">
    <w:abstractNumId w:val="6"/>
  </w:num>
  <w:num w:numId="15">
    <w:abstractNumId w:val="5"/>
  </w:num>
  <w:num w:numId="16">
    <w:abstractNumId w:val="7"/>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2A07"/>
    <w:rsid w:val="000534E3"/>
    <w:rsid w:val="0005606A"/>
    <w:rsid w:val="00057117"/>
    <w:rsid w:val="000616E7"/>
    <w:rsid w:val="0006487E"/>
    <w:rsid w:val="00065E1A"/>
    <w:rsid w:val="00067808"/>
    <w:rsid w:val="00071EB6"/>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755"/>
    <w:rsid w:val="000B58C3"/>
    <w:rsid w:val="000B61E9"/>
    <w:rsid w:val="000C165A"/>
    <w:rsid w:val="000C2E19"/>
    <w:rsid w:val="000D0D07"/>
    <w:rsid w:val="000D4797"/>
    <w:rsid w:val="000D5BEE"/>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54C"/>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562C2"/>
    <w:rsid w:val="001643A8"/>
    <w:rsid w:val="001659C1"/>
    <w:rsid w:val="00173A8E"/>
    <w:rsid w:val="00177795"/>
    <w:rsid w:val="0018143F"/>
    <w:rsid w:val="00190AC1"/>
    <w:rsid w:val="0019341A"/>
    <w:rsid w:val="00197790"/>
    <w:rsid w:val="00197DF9"/>
    <w:rsid w:val="001A089D"/>
    <w:rsid w:val="001A1987"/>
    <w:rsid w:val="001A2564"/>
    <w:rsid w:val="001A4516"/>
    <w:rsid w:val="001A6173"/>
    <w:rsid w:val="001A6CBA"/>
    <w:rsid w:val="001B0D97"/>
    <w:rsid w:val="001B5A5D"/>
    <w:rsid w:val="001C1CE5"/>
    <w:rsid w:val="001C3D2A"/>
    <w:rsid w:val="001C6495"/>
    <w:rsid w:val="001D51BA"/>
    <w:rsid w:val="001D6342"/>
    <w:rsid w:val="001D6D53"/>
    <w:rsid w:val="001E58E2"/>
    <w:rsid w:val="001E7AED"/>
    <w:rsid w:val="001E7D72"/>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27C6"/>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09AE"/>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252E"/>
    <w:rsid w:val="00385BF0"/>
    <w:rsid w:val="003939FF"/>
    <w:rsid w:val="003A2223"/>
    <w:rsid w:val="003A2A0F"/>
    <w:rsid w:val="003A45A1"/>
    <w:rsid w:val="003A5B0A"/>
    <w:rsid w:val="003A6BAC"/>
    <w:rsid w:val="003A7EF3"/>
    <w:rsid w:val="003B159C"/>
    <w:rsid w:val="003B369F"/>
    <w:rsid w:val="003B36A3"/>
    <w:rsid w:val="003B5E12"/>
    <w:rsid w:val="003B7FE5"/>
    <w:rsid w:val="003C11C8"/>
    <w:rsid w:val="003C2702"/>
    <w:rsid w:val="003C7806"/>
    <w:rsid w:val="003D109F"/>
    <w:rsid w:val="003D1CC8"/>
    <w:rsid w:val="003D2478"/>
    <w:rsid w:val="003D2FC4"/>
    <w:rsid w:val="003D3C45"/>
    <w:rsid w:val="003D5B1F"/>
    <w:rsid w:val="003E15FA"/>
    <w:rsid w:val="003E55E4"/>
    <w:rsid w:val="003E74E3"/>
    <w:rsid w:val="003F05C7"/>
    <w:rsid w:val="003F2CD4"/>
    <w:rsid w:val="003F349F"/>
    <w:rsid w:val="003F6BBE"/>
    <w:rsid w:val="004000E8"/>
    <w:rsid w:val="00402E2B"/>
    <w:rsid w:val="0040512B"/>
    <w:rsid w:val="00405CA5"/>
    <w:rsid w:val="00407CD3"/>
    <w:rsid w:val="00410134"/>
    <w:rsid w:val="00410B72"/>
    <w:rsid w:val="00410F18"/>
    <w:rsid w:val="0041263E"/>
    <w:rsid w:val="00413AAC"/>
    <w:rsid w:val="00415472"/>
    <w:rsid w:val="00421105"/>
    <w:rsid w:val="004242F4"/>
    <w:rsid w:val="00427248"/>
    <w:rsid w:val="00437447"/>
    <w:rsid w:val="00441A92"/>
    <w:rsid w:val="00444F56"/>
    <w:rsid w:val="00446488"/>
    <w:rsid w:val="004517AA"/>
    <w:rsid w:val="00452CAC"/>
    <w:rsid w:val="00457565"/>
    <w:rsid w:val="00457B71"/>
    <w:rsid w:val="00465F3A"/>
    <w:rsid w:val="004669E2"/>
    <w:rsid w:val="00467052"/>
    <w:rsid w:val="00470C31"/>
    <w:rsid w:val="00471449"/>
    <w:rsid w:val="004734D0"/>
    <w:rsid w:val="0047556B"/>
    <w:rsid w:val="00475AF4"/>
    <w:rsid w:val="00477768"/>
    <w:rsid w:val="00492BC5"/>
    <w:rsid w:val="004964F1"/>
    <w:rsid w:val="004A16BC"/>
    <w:rsid w:val="004A2B94"/>
    <w:rsid w:val="004B7C0C"/>
    <w:rsid w:val="004C3898"/>
    <w:rsid w:val="004D36B1"/>
    <w:rsid w:val="004D7EBD"/>
    <w:rsid w:val="004E2680"/>
    <w:rsid w:val="004E28F9"/>
    <w:rsid w:val="004E462E"/>
    <w:rsid w:val="004E56DC"/>
    <w:rsid w:val="004E736A"/>
    <w:rsid w:val="004E76F4"/>
    <w:rsid w:val="004F0B4E"/>
    <w:rsid w:val="004F0B6C"/>
    <w:rsid w:val="004F2078"/>
    <w:rsid w:val="004F4DA3"/>
    <w:rsid w:val="00500A3A"/>
    <w:rsid w:val="00506557"/>
    <w:rsid w:val="0050677A"/>
    <w:rsid w:val="005108D8"/>
    <w:rsid w:val="005116F9"/>
    <w:rsid w:val="005153A7"/>
    <w:rsid w:val="005219CF"/>
    <w:rsid w:val="005338D0"/>
    <w:rsid w:val="00534B59"/>
    <w:rsid w:val="00536759"/>
    <w:rsid w:val="005374E2"/>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1A5C"/>
    <w:rsid w:val="005B35D7"/>
    <w:rsid w:val="005B392A"/>
    <w:rsid w:val="005B3AA3"/>
    <w:rsid w:val="005B6F83"/>
    <w:rsid w:val="005C74FB"/>
    <w:rsid w:val="005D1602"/>
    <w:rsid w:val="005E25E8"/>
    <w:rsid w:val="005E385F"/>
    <w:rsid w:val="005E43F7"/>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2C1E"/>
    <w:rsid w:val="0070346E"/>
    <w:rsid w:val="00704EDB"/>
    <w:rsid w:val="0070537F"/>
    <w:rsid w:val="00706101"/>
    <w:rsid w:val="00707072"/>
    <w:rsid w:val="00707D61"/>
    <w:rsid w:val="00710894"/>
    <w:rsid w:val="00712287"/>
    <w:rsid w:val="0071229E"/>
    <w:rsid w:val="00712772"/>
    <w:rsid w:val="007148D3"/>
    <w:rsid w:val="00715B9A"/>
    <w:rsid w:val="00721593"/>
    <w:rsid w:val="00726EA6"/>
    <w:rsid w:val="00727208"/>
    <w:rsid w:val="00727680"/>
    <w:rsid w:val="007348B1"/>
    <w:rsid w:val="00734B23"/>
    <w:rsid w:val="007362A6"/>
    <w:rsid w:val="00736D7D"/>
    <w:rsid w:val="00740E58"/>
    <w:rsid w:val="007445A0"/>
    <w:rsid w:val="0074524B"/>
    <w:rsid w:val="00747D8B"/>
    <w:rsid w:val="00751228"/>
    <w:rsid w:val="007571E1"/>
    <w:rsid w:val="007579B7"/>
    <w:rsid w:val="007604B2"/>
    <w:rsid w:val="00765281"/>
    <w:rsid w:val="0076559C"/>
    <w:rsid w:val="00766BAD"/>
    <w:rsid w:val="007730BD"/>
    <w:rsid w:val="007755F2"/>
    <w:rsid w:val="00776971"/>
    <w:rsid w:val="0078177E"/>
    <w:rsid w:val="0078304C"/>
    <w:rsid w:val="00783673"/>
    <w:rsid w:val="00785490"/>
    <w:rsid w:val="007925EA"/>
    <w:rsid w:val="00793CD8"/>
    <w:rsid w:val="00795837"/>
    <w:rsid w:val="00795C92"/>
    <w:rsid w:val="00796231"/>
    <w:rsid w:val="007A1CB3"/>
    <w:rsid w:val="007A306F"/>
    <w:rsid w:val="007A43A6"/>
    <w:rsid w:val="007A58A6"/>
    <w:rsid w:val="007A7BC3"/>
    <w:rsid w:val="007B3D2D"/>
    <w:rsid w:val="007B50AE"/>
    <w:rsid w:val="007B51DF"/>
    <w:rsid w:val="007C05DD"/>
    <w:rsid w:val="007C0DDA"/>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7704"/>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373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18C"/>
    <w:rsid w:val="00985253"/>
    <w:rsid w:val="009853B3"/>
    <w:rsid w:val="00990630"/>
    <w:rsid w:val="00991761"/>
    <w:rsid w:val="00994DCA"/>
    <w:rsid w:val="009960EC"/>
    <w:rsid w:val="00996E3E"/>
    <w:rsid w:val="009970DD"/>
    <w:rsid w:val="009A0FBA"/>
    <w:rsid w:val="009A1601"/>
    <w:rsid w:val="009A462D"/>
    <w:rsid w:val="009A5CBA"/>
    <w:rsid w:val="009B110B"/>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15B6"/>
    <w:rsid w:val="00A02F47"/>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37D0"/>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3F74"/>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1485"/>
    <w:rsid w:val="00C3719D"/>
    <w:rsid w:val="00C54995"/>
    <w:rsid w:val="00C54D41"/>
    <w:rsid w:val="00C60783"/>
    <w:rsid w:val="00C64672"/>
    <w:rsid w:val="00C70697"/>
    <w:rsid w:val="00C72EF4"/>
    <w:rsid w:val="00C75D2F"/>
    <w:rsid w:val="00C765DE"/>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07A1A"/>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E794E"/>
    <w:rsid w:val="00DF0B6E"/>
    <w:rsid w:val="00DF15E0"/>
    <w:rsid w:val="00DF37A0"/>
    <w:rsid w:val="00E01B0E"/>
    <w:rsid w:val="00E03845"/>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0DA1"/>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2585"/>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3B2"/>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6F7E"/>
    <w:rsid w:val="00FE7336"/>
    <w:rsid w:val="00FE787C"/>
    <w:rsid w:val="00FF45A5"/>
    <w:rsid w:val="00FF5C91"/>
    <w:rsid w:val="00FF7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9B7A5B"/>
  <w15:docId w15:val="{F0EC39E0-5D3F-47E4-AEBB-E085EA4996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rmalParagraph">
    <w:name w:val="Normal Paragraph"/>
    <w:qFormat/>
    <w:rsid w:val="003B5E12"/>
    <w:pPr>
      <w:spacing w:after="200" w:line="276" w:lineRule="auto"/>
    </w:pPr>
    <w:rPr>
      <w:rFonts w:ascii="Arial" w:eastAsia="SimSun" w:hAnsi="Arial"/>
      <w:sz w:val="22"/>
      <w:szCs w:val="22"/>
    </w:rPr>
  </w:style>
  <w:style w:type="paragraph" w:styleId="ListParagraph">
    <w:name w:val="List Paragraph"/>
    <w:basedOn w:val="Normal"/>
    <w:uiPriority w:val="34"/>
    <w:qFormat/>
    <w:rsid w:val="007108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877673">
      <w:bodyDiv w:val="1"/>
      <w:marLeft w:val="0"/>
      <w:marRight w:val="0"/>
      <w:marTop w:val="0"/>
      <w:marBottom w:val="0"/>
      <w:divBdr>
        <w:top w:val="none" w:sz="0" w:space="0" w:color="auto"/>
        <w:left w:val="none" w:sz="0" w:space="0" w:color="auto"/>
        <w:bottom w:val="none" w:sz="0" w:space="0" w:color="auto"/>
        <w:right w:val="none" w:sz="0" w:space="0" w:color="auto"/>
      </w:divBdr>
    </w:div>
    <w:div w:id="89771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EAA6E-D127-4139-8760-609633485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250</TotalTime>
  <Pages>4</Pages>
  <Words>1131</Words>
  <Characters>6450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31</cp:revision>
  <cp:lastPrinted>2016-09-26T12:16:00Z</cp:lastPrinted>
  <dcterms:created xsi:type="dcterms:W3CDTF">2016-09-07T05:59:00Z</dcterms:created>
  <dcterms:modified xsi:type="dcterms:W3CDTF">2016-10-01T02:42:00Z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